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880"/>
        <w:gridCol w:w="2430"/>
        <w:gridCol w:w="2610"/>
        <w:gridCol w:w="3150"/>
      </w:tblGrid>
      <w:tr w:rsidR="00B268F7" w:rsidTr="00D52B35">
        <w:tc>
          <w:tcPr>
            <w:tcW w:w="14305" w:type="dxa"/>
            <w:gridSpan w:val="5"/>
          </w:tcPr>
          <w:p w:rsidR="00B268F7" w:rsidRPr="00637326" w:rsidRDefault="00B268F7" w:rsidP="0049657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37326">
              <w:rPr>
                <w:b/>
                <w:sz w:val="28"/>
                <w:szCs w:val="28"/>
              </w:rPr>
              <w:t xml:space="preserve">Roles </w:t>
            </w:r>
            <w:r w:rsidR="00422657">
              <w:rPr>
                <w:b/>
                <w:sz w:val="28"/>
                <w:szCs w:val="28"/>
              </w:rPr>
              <w:t xml:space="preserve">of School Personnel </w:t>
            </w:r>
            <w:r w:rsidR="00D75C54">
              <w:rPr>
                <w:b/>
                <w:sz w:val="28"/>
                <w:szCs w:val="28"/>
              </w:rPr>
              <w:t>in D</w:t>
            </w:r>
            <w:r w:rsidRPr="00637326">
              <w:rPr>
                <w:b/>
                <w:sz w:val="28"/>
                <w:szCs w:val="28"/>
              </w:rPr>
              <w:t>elivering AFM to students</w:t>
            </w:r>
          </w:p>
        </w:tc>
      </w:tr>
      <w:tr w:rsidR="00D52B35" w:rsidTr="00E748A3">
        <w:tc>
          <w:tcPr>
            <w:tcW w:w="3235" w:type="dxa"/>
          </w:tcPr>
          <w:p w:rsidR="00DA783B" w:rsidRPr="00637326" w:rsidRDefault="00DA783B" w:rsidP="00B268F7">
            <w:pPr>
              <w:rPr>
                <w:b/>
                <w:sz w:val="24"/>
                <w:szCs w:val="24"/>
              </w:rPr>
            </w:pPr>
            <w:r w:rsidRPr="00637326">
              <w:rPr>
                <w:b/>
                <w:sz w:val="24"/>
                <w:szCs w:val="24"/>
              </w:rPr>
              <w:t xml:space="preserve">Contact Teacher </w:t>
            </w:r>
          </w:p>
        </w:tc>
        <w:tc>
          <w:tcPr>
            <w:tcW w:w="2880" w:type="dxa"/>
          </w:tcPr>
          <w:p w:rsidR="00DA783B" w:rsidRPr="00637326" w:rsidRDefault="00DA783B" w:rsidP="00B268F7">
            <w:pPr>
              <w:jc w:val="center"/>
              <w:rPr>
                <w:b/>
                <w:sz w:val="24"/>
                <w:szCs w:val="24"/>
              </w:rPr>
            </w:pPr>
            <w:r w:rsidRPr="00637326">
              <w:rPr>
                <w:b/>
                <w:sz w:val="24"/>
                <w:szCs w:val="24"/>
              </w:rPr>
              <w:t xml:space="preserve">AFM Advisor </w:t>
            </w:r>
          </w:p>
        </w:tc>
        <w:tc>
          <w:tcPr>
            <w:tcW w:w="2430" w:type="dxa"/>
          </w:tcPr>
          <w:p w:rsidR="00DA783B" w:rsidRPr="00637326" w:rsidRDefault="00DA783B" w:rsidP="00F75F8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37326">
              <w:rPr>
                <w:rFonts w:ascii="Calibri" w:hAnsi="Calibri" w:cs="Calibri"/>
                <w:b/>
                <w:sz w:val="24"/>
                <w:szCs w:val="24"/>
              </w:rPr>
              <w:t>Administrators</w:t>
            </w:r>
          </w:p>
        </w:tc>
        <w:tc>
          <w:tcPr>
            <w:tcW w:w="2610" w:type="dxa"/>
          </w:tcPr>
          <w:p w:rsidR="00DA783B" w:rsidRPr="00637326" w:rsidRDefault="00DA783B" w:rsidP="00B268F7">
            <w:pPr>
              <w:rPr>
                <w:b/>
                <w:sz w:val="24"/>
                <w:szCs w:val="24"/>
              </w:rPr>
            </w:pPr>
            <w:r w:rsidRPr="00637326">
              <w:rPr>
                <w:b/>
                <w:sz w:val="24"/>
                <w:szCs w:val="24"/>
              </w:rPr>
              <w:t>Assessors</w:t>
            </w:r>
          </w:p>
        </w:tc>
        <w:tc>
          <w:tcPr>
            <w:tcW w:w="3150" w:type="dxa"/>
          </w:tcPr>
          <w:p w:rsidR="00DA783B" w:rsidRPr="00637326" w:rsidRDefault="00DA783B" w:rsidP="00F75F86">
            <w:pPr>
              <w:jc w:val="center"/>
              <w:rPr>
                <w:b/>
                <w:sz w:val="24"/>
                <w:szCs w:val="24"/>
              </w:rPr>
            </w:pPr>
            <w:r w:rsidRPr="00637326">
              <w:rPr>
                <w:b/>
                <w:sz w:val="24"/>
                <w:szCs w:val="24"/>
              </w:rPr>
              <w:t>Classroom/Subject Teachers</w:t>
            </w:r>
          </w:p>
        </w:tc>
      </w:tr>
      <w:tr w:rsidR="00D52B35" w:rsidRPr="00975B73" w:rsidTr="00E748A3">
        <w:tc>
          <w:tcPr>
            <w:tcW w:w="3235" w:type="dxa"/>
          </w:tcPr>
          <w:p w:rsidR="00975B73" w:rsidRPr="00975B73" w:rsidRDefault="00975B73" w:rsidP="00975B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Submit applications annually for students to access to AFM</w:t>
            </w:r>
            <w:r w:rsidR="00EC247C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NL, preferably by May 15</w:t>
            </w:r>
            <w:r w:rsidRPr="00975B73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975B73" w:rsidRPr="00975B73" w:rsidRDefault="00975B73" w:rsidP="00975B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Complete &amp; submit AFM advisor application to AFM</w:t>
            </w:r>
            <w:r w:rsidR="00EC247C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NL, preferably by June 1</w:t>
            </w:r>
            <w:r w:rsidRPr="00975B73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st</w:t>
            </w: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:rsidR="00975B73" w:rsidRPr="00975B73" w:rsidRDefault="00975B73" w:rsidP="00975B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Oversee AFM delivery in school.</w:t>
            </w:r>
          </w:p>
        </w:tc>
        <w:tc>
          <w:tcPr>
            <w:tcW w:w="2610" w:type="dxa"/>
          </w:tcPr>
          <w:p w:rsidR="00975B73" w:rsidRPr="00975B73" w:rsidRDefault="00975B73" w:rsidP="00975B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Guidance counsellors sign AFM applications to verify student eligibility.</w:t>
            </w:r>
          </w:p>
        </w:tc>
        <w:tc>
          <w:tcPr>
            <w:tcW w:w="3150" w:type="dxa"/>
          </w:tcPr>
          <w:p w:rsidR="00975B73" w:rsidRPr="00975B73" w:rsidRDefault="00975B73" w:rsidP="00975B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Collabo</w:t>
            </w:r>
            <w:r w:rsidR="00EC247C">
              <w:rPr>
                <w:rFonts w:asciiTheme="majorHAnsi" w:hAnsiTheme="majorHAnsi" w:cstheme="majorHAnsi"/>
                <w:sz w:val="20"/>
                <w:szCs w:val="20"/>
              </w:rPr>
              <w:t>rate with</w:t>
            </w:r>
            <w:r w:rsidR="006F75FD">
              <w:rPr>
                <w:rFonts w:asciiTheme="majorHAnsi" w:hAnsiTheme="majorHAnsi" w:cstheme="majorHAnsi"/>
                <w:sz w:val="20"/>
                <w:szCs w:val="20"/>
              </w:rPr>
              <w:t xml:space="preserve"> contact teachers, students &amp;</w:t>
            </w:r>
            <w:r w:rsidR="00EC24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AFM advisors throughout the school year to ensure student has access to required resources.</w:t>
            </w:r>
          </w:p>
        </w:tc>
      </w:tr>
      <w:tr w:rsidR="00D52B35" w:rsidRPr="00975B73" w:rsidTr="00E748A3">
        <w:tc>
          <w:tcPr>
            <w:tcW w:w="3235" w:type="dxa"/>
          </w:tcPr>
          <w:p w:rsidR="00975B73" w:rsidRPr="00975B73" w:rsidRDefault="00975B73" w:rsidP="00975B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Receive &amp; distribute students’ AFM</w:t>
            </w:r>
            <w:r w:rsidR="00EC247C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NL username and password and off-line materials shipped to the school by AFM</w:t>
            </w:r>
            <w:r w:rsidR="00B050B7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 xml:space="preserve">NL. </w:t>
            </w:r>
          </w:p>
        </w:tc>
        <w:tc>
          <w:tcPr>
            <w:tcW w:w="2880" w:type="dxa"/>
          </w:tcPr>
          <w:p w:rsidR="00975B73" w:rsidRPr="00975B73" w:rsidRDefault="00975B73" w:rsidP="00975B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Access a list of students in their school community approved to access AFM</w:t>
            </w:r>
            <w:r w:rsidR="00EC247C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NL repository.</w:t>
            </w:r>
          </w:p>
        </w:tc>
        <w:tc>
          <w:tcPr>
            <w:tcW w:w="2430" w:type="dxa"/>
          </w:tcPr>
          <w:p w:rsidR="00975B73" w:rsidRPr="00975B73" w:rsidRDefault="00975B73" w:rsidP="00975B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As part of Service Delivery Team, make decisions regarding responsibilities related to AFM delivery in the school.</w:t>
            </w:r>
          </w:p>
        </w:tc>
        <w:tc>
          <w:tcPr>
            <w:tcW w:w="2610" w:type="dxa"/>
          </w:tcPr>
          <w:p w:rsidR="00975B73" w:rsidRPr="00975B73" w:rsidRDefault="00975B73" w:rsidP="00975B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Educational psychologists assigned to the school can also verify student eligibility.</w:t>
            </w:r>
          </w:p>
        </w:tc>
        <w:tc>
          <w:tcPr>
            <w:tcW w:w="3150" w:type="dxa"/>
          </w:tcPr>
          <w:p w:rsidR="00975B73" w:rsidRPr="00975B73" w:rsidRDefault="00975B73" w:rsidP="00975B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 xml:space="preserve">Collaborate/problem solve with other teachers to ensure student is able to effectively </w:t>
            </w:r>
            <w:r w:rsidR="00D46AF4">
              <w:rPr>
                <w:rFonts w:asciiTheme="majorHAnsi" w:hAnsiTheme="majorHAnsi" w:cstheme="majorHAnsi"/>
                <w:sz w:val="20"/>
                <w:szCs w:val="20"/>
              </w:rPr>
              <w:t xml:space="preserve">and independently </w:t>
            </w: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use AFM resources in classroom.</w:t>
            </w:r>
          </w:p>
        </w:tc>
      </w:tr>
      <w:tr w:rsidR="00EC247C" w:rsidRPr="00975B73" w:rsidTr="00E748A3">
        <w:tc>
          <w:tcPr>
            <w:tcW w:w="3235" w:type="dxa"/>
          </w:tcPr>
          <w:p w:rsidR="00EC247C" w:rsidRPr="00975B73" w:rsidRDefault="00EC247C" w:rsidP="006F75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Collaborate with classroom/subject teachers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and student throughout the school year to determine AFM resources required and ensure access to all required resources.</w:t>
            </w: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Add and remove digital AFM resources to student accounts, as required.</w:t>
            </w:r>
          </w:p>
        </w:tc>
        <w:tc>
          <w:tcPr>
            <w:tcW w:w="243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 xml:space="preserve">Ensure teachers are aware of AFM responsibilities. </w:t>
            </w:r>
          </w:p>
        </w:tc>
        <w:tc>
          <w:tcPr>
            <w:tcW w:w="261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For students with hearing loss, the Hearing Itinerant/Teachers of the Deaf or Hard of Hearing must verify student eligibility.</w:t>
            </w:r>
          </w:p>
        </w:tc>
        <w:tc>
          <w:tcPr>
            <w:tcW w:w="3150" w:type="dxa"/>
          </w:tcPr>
          <w:p w:rsidR="00EC247C" w:rsidRPr="00975B73" w:rsidRDefault="006F75FD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Can be Contact Teachers or AFM Advisors.</w:t>
            </w:r>
          </w:p>
        </w:tc>
      </w:tr>
      <w:tr w:rsidR="00EC247C" w:rsidRPr="00975B73" w:rsidTr="00E748A3">
        <w:tc>
          <w:tcPr>
            <w:tcW w:w="3235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Provide AFM Advisor with list of resources required by student at the beginning of each school year. Update this list as required throughout the school year.</w:t>
            </w:r>
          </w:p>
        </w:tc>
        <w:tc>
          <w:tcPr>
            <w:tcW w:w="288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 xml:space="preserve">Collaborate with contact teachers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&amp;/or </w:t>
            </w: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classroom/subject teachers throughout the school year to ensure student has access to required resources.</w:t>
            </w:r>
          </w:p>
        </w:tc>
        <w:tc>
          <w:tcPr>
            <w:tcW w:w="243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For students with vision loss, the Vision itinerant applies to APSEA for access to AFM.</w:t>
            </w:r>
          </w:p>
        </w:tc>
        <w:tc>
          <w:tcPr>
            <w:tcW w:w="315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247C" w:rsidRPr="00975B73" w:rsidTr="00E748A3">
        <w:tc>
          <w:tcPr>
            <w:tcW w:w="3235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Return off-line materials at end of school year or earlier is student has finished using them.</w:t>
            </w:r>
          </w:p>
        </w:tc>
        <w:tc>
          <w:tcPr>
            <w:tcW w:w="288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247C" w:rsidRPr="00975B73" w:rsidTr="00E748A3">
        <w:tc>
          <w:tcPr>
            <w:tcW w:w="3235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Help the student learn to access &amp; use AFM resources.</w:t>
            </w:r>
          </w:p>
        </w:tc>
        <w:tc>
          <w:tcPr>
            <w:tcW w:w="288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247C" w:rsidRPr="00975B73" w:rsidTr="00E748A3">
        <w:tc>
          <w:tcPr>
            <w:tcW w:w="3235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Ensure student &amp; parents/guardians are informed of copyright restrictions &amp; responsibilities.</w:t>
            </w:r>
          </w:p>
        </w:tc>
        <w:tc>
          <w:tcPr>
            <w:tcW w:w="288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247C" w:rsidRPr="00975B73" w:rsidTr="00E748A3">
        <w:trPr>
          <w:trHeight w:val="710"/>
        </w:trPr>
        <w:tc>
          <w:tcPr>
            <w:tcW w:w="3235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Ensure student and parents/guardians understand how to access AFM resources at home.</w:t>
            </w:r>
          </w:p>
        </w:tc>
        <w:tc>
          <w:tcPr>
            <w:tcW w:w="288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247C" w:rsidRPr="00975B73" w:rsidTr="00E748A3">
        <w:tc>
          <w:tcPr>
            <w:tcW w:w="3235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5B73">
              <w:rPr>
                <w:rFonts w:asciiTheme="majorHAnsi" w:hAnsiTheme="majorHAnsi" w:cstheme="majorHAnsi"/>
                <w:sz w:val="20"/>
                <w:szCs w:val="20"/>
              </w:rPr>
              <w:t>Collaborate/problem solve with classroom/subject teachers to ensure student is able to effectively use AFM resources in classroom.</w:t>
            </w:r>
          </w:p>
        </w:tc>
        <w:tc>
          <w:tcPr>
            <w:tcW w:w="288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C247C" w:rsidRPr="00975B73" w:rsidRDefault="00EC247C" w:rsidP="00EC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7604E" w:rsidRPr="00975B73" w:rsidRDefault="0027604E" w:rsidP="0093087D">
      <w:pPr>
        <w:rPr>
          <w:rFonts w:asciiTheme="majorHAnsi" w:hAnsiTheme="majorHAnsi" w:cstheme="majorHAnsi"/>
          <w:sz w:val="20"/>
          <w:szCs w:val="20"/>
        </w:rPr>
      </w:pPr>
    </w:p>
    <w:p w:rsidR="009C1C8B" w:rsidRPr="00975B73" w:rsidRDefault="0093087D">
      <w:pPr>
        <w:rPr>
          <w:rFonts w:asciiTheme="majorHAnsi" w:hAnsiTheme="majorHAnsi" w:cstheme="majorHAnsi"/>
          <w:sz w:val="20"/>
          <w:szCs w:val="20"/>
        </w:rPr>
      </w:pPr>
      <w:r w:rsidRPr="00975B73">
        <w:rPr>
          <w:rFonts w:asciiTheme="majorHAnsi" w:hAnsiTheme="majorHAnsi" w:cstheme="majorHAnsi"/>
          <w:b/>
          <w:sz w:val="20"/>
          <w:szCs w:val="20"/>
        </w:rPr>
        <w:t>*</w:t>
      </w:r>
      <w:r w:rsidR="0027604E" w:rsidRPr="00975B73">
        <w:rPr>
          <w:rFonts w:asciiTheme="majorHAnsi" w:hAnsiTheme="majorHAnsi" w:cstheme="majorHAnsi"/>
          <w:b/>
          <w:sz w:val="20"/>
          <w:szCs w:val="20"/>
        </w:rPr>
        <w:t>Note:</w:t>
      </w:r>
      <w:r w:rsidR="0027604E" w:rsidRPr="00975B73">
        <w:rPr>
          <w:rFonts w:asciiTheme="majorHAnsi" w:hAnsiTheme="majorHAnsi" w:cstheme="majorHAnsi"/>
          <w:sz w:val="20"/>
          <w:szCs w:val="20"/>
        </w:rPr>
        <w:t xml:space="preserve"> </w:t>
      </w:r>
      <w:r w:rsidRPr="00975B73">
        <w:rPr>
          <w:rFonts w:asciiTheme="majorHAnsi" w:hAnsiTheme="majorHAnsi" w:cstheme="majorHAnsi"/>
          <w:sz w:val="20"/>
          <w:szCs w:val="20"/>
        </w:rPr>
        <w:t>The Contact teacher</w:t>
      </w:r>
      <w:r w:rsidR="0027604E" w:rsidRPr="00975B73">
        <w:rPr>
          <w:rFonts w:asciiTheme="majorHAnsi" w:hAnsiTheme="majorHAnsi" w:cstheme="majorHAnsi"/>
          <w:sz w:val="20"/>
          <w:szCs w:val="20"/>
        </w:rPr>
        <w:t>, as well as other teachers involved in AFM delivery</w:t>
      </w:r>
      <w:r w:rsidRPr="00975B73">
        <w:rPr>
          <w:rFonts w:asciiTheme="majorHAnsi" w:hAnsiTheme="majorHAnsi" w:cstheme="majorHAnsi"/>
          <w:sz w:val="20"/>
          <w:szCs w:val="20"/>
        </w:rPr>
        <w:t xml:space="preserve"> for a student may change from one year to the next. It is important that when students transition from grade to </w:t>
      </w:r>
      <w:r w:rsidR="0027604E" w:rsidRPr="00975B73">
        <w:rPr>
          <w:rFonts w:asciiTheme="majorHAnsi" w:hAnsiTheme="majorHAnsi" w:cstheme="majorHAnsi"/>
          <w:sz w:val="20"/>
          <w:szCs w:val="20"/>
        </w:rPr>
        <w:t xml:space="preserve">grade and school to school, </w:t>
      </w:r>
      <w:r w:rsidRPr="00975B73">
        <w:rPr>
          <w:rFonts w:asciiTheme="majorHAnsi" w:hAnsiTheme="majorHAnsi" w:cstheme="majorHAnsi"/>
          <w:sz w:val="20"/>
          <w:szCs w:val="20"/>
        </w:rPr>
        <w:t xml:space="preserve">responsibilities regarding AFM </w:t>
      </w:r>
      <w:r w:rsidR="0027604E" w:rsidRPr="00975B73">
        <w:rPr>
          <w:rFonts w:asciiTheme="majorHAnsi" w:hAnsiTheme="majorHAnsi" w:cstheme="majorHAnsi"/>
          <w:sz w:val="20"/>
          <w:szCs w:val="20"/>
        </w:rPr>
        <w:t xml:space="preserve">delivery </w:t>
      </w:r>
      <w:r w:rsidRPr="00975B73">
        <w:rPr>
          <w:rFonts w:asciiTheme="majorHAnsi" w:hAnsiTheme="majorHAnsi" w:cstheme="majorHAnsi"/>
          <w:sz w:val="20"/>
          <w:szCs w:val="20"/>
        </w:rPr>
        <w:t>are clearly</w:t>
      </w:r>
      <w:r w:rsidR="0027604E" w:rsidRPr="00975B73">
        <w:rPr>
          <w:rFonts w:asciiTheme="majorHAnsi" w:hAnsiTheme="majorHAnsi" w:cstheme="majorHAnsi"/>
          <w:sz w:val="20"/>
          <w:szCs w:val="20"/>
        </w:rPr>
        <w:t xml:space="preserve"> defined and communicated. </w:t>
      </w:r>
    </w:p>
    <w:sectPr w:rsidR="009C1C8B" w:rsidRPr="00975B73" w:rsidSect="0027604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CB4"/>
    <w:multiLevelType w:val="hybridMultilevel"/>
    <w:tmpl w:val="1D48A8A6"/>
    <w:lvl w:ilvl="0" w:tplc="BCDA8E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75A18"/>
    <w:multiLevelType w:val="hybridMultilevel"/>
    <w:tmpl w:val="F4701C44"/>
    <w:lvl w:ilvl="0" w:tplc="C34E28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30gUF48GBqqKbQfQQ7rUR6g2Q/xlvupq/1WSEFY4pZ18xs7R1jerJ/bazdLhis5a94a1LQ8qyftajFodhzfUPw==" w:salt="0UEFqj1eso9YDkYsfnwI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76"/>
    <w:rsid w:val="001D7D01"/>
    <w:rsid w:val="0027604E"/>
    <w:rsid w:val="0028717C"/>
    <w:rsid w:val="00422657"/>
    <w:rsid w:val="00496576"/>
    <w:rsid w:val="00637326"/>
    <w:rsid w:val="00646438"/>
    <w:rsid w:val="00682168"/>
    <w:rsid w:val="006F75FD"/>
    <w:rsid w:val="00852164"/>
    <w:rsid w:val="0093087D"/>
    <w:rsid w:val="00963D1F"/>
    <w:rsid w:val="00975B73"/>
    <w:rsid w:val="009C1C8B"/>
    <w:rsid w:val="00A1098D"/>
    <w:rsid w:val="00B050B7"/>
    <w:rsid w:val="00B268F7"/>
    <w:rsid w:val="00C01F3C"/>
    <w:rsid w:val="00C55A23"/>
    <w:rsid w:val="00D46AF4"/>
    <w:rsid w:val="00D52B35"/>
    <w:rsid w:val="00D75C54"/>
    <w:rsid w:val="00DA783B"/>
    <w:rsid w:val="00E748A3"/>
    <w:rsid w:val="00EC247C"/>
    <w:rsid w:val="00F705C4"/>
    <w:rsid w:val="00F75F86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36C14-350F-491B-8495-CEE5FBB3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2322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nroberts</dc:creator>
  <cp:keywords/>
  <dc:description/>
  <cp:lastModifiedBy>Powell, Anna</cp:lastModifiedBy>
  <cp:revision>2</cp:revision>
  <dcterms:created xsi:type="dcterms:W3CDTF">2019-10-01T18:12:00Z</dcterms:created>
  <dcterms:modified xsi:type="dcterms:W3CDTF">2019-10-01T18:12:00Z</dcterms:modified>
</cp:coreProperties>
</file>