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CA335" w14:textId="22CB0A5E" w:rsidR="0051321C" w:rsidRDefault="0051321C" w:rsidP="0051321C">
      <w:pPr>
        <w:keepNext/>
        <w:keepLines/>
        <w:spacing w:before="40" w:after="0" w:line="360" w:lineRule="auto"/>
        <w:jc w:val="center"/>
        <w:outlineLvl w:val="1"/>
        <w:rPr>
          <w:rFonts w:ascii="Times New Roman" w:eastAsia="Times New Roman" w:hAnsi="Times New Roman" w:cs="Times New Roman"/>
          <w:b/>
          <w:caps/>
          <w:color w:val="000000"/>
          <w:kern w:val="0"/>
          <w:sz w:val="28"/>
          <w:szCs w:val="26"/>
          <w14:ligatures w14:val="none"/>
        </w:rPr>
      </w:pPr>
      <w:r>
        <w:rPr>
          <w:rFonts w:ascii="Times New Roman" w:eastAsia="Times New Roman" w:hAnsi="Times New Roman" w:cs="Times New Roman"/>
          <w:b/>
          <w:caps/>
          <w:color w:val="000000"/>
          <w:kern w:val="0"/>
          <w:sz w:val="28"/>
          <w:szCs w:val="26"/>
          <w14:ligatures w14:val="none"/>
        </w:rPr>
        <w:t xml:space="preserve">Appendix </w:t>
      </w:r>
      <w:r w:rsidR="00C204C8">
        <w:rPr>
          <w:rFonts w:ascii="Times New Roman" w:eastAsia="Times New Roman" w:hAnsi="Times New Roman" w:cs="Times New Roman"/>
          <w:b/>
          <w:caps/>
          <w:color w:val="000000"/>
          <w:kern w:val="0"/>
          <w:sz w:val="28"/>
          <w:szCs w:val="26"/>
          <w14:ligatures w14:val="none"/>
        </w:rPr>
        <w:t>B1</w:t>
      </w:r>
    </w:p>
    <w:p w14:paraId="70D976C7" w14:textId="528AE466" w:rsidR="006E15D6" w:rsidRPr="006E15D6" w:rsidRDefault="006E15D6" w:rsidP="006E15D6">
      <w:pPr>
        <w:ind w:firstLine="720"/>
        <w:rPr>
          <w:rFonts w:ascii="Times New Roman" w:hAnsi="Times New Roman" w:cs="Times New Roman"/>
        </w:rPr>
      </w:pPr>
      <w:r w:rsidRPr="006E15D6">
        <w:rPr>
          <w:rFonts w:ascii="Times New Roman" w:hAnsi="Times New Roman" w:cs="Times New Roman"/>
        </w:rPr>
        <w:t xml:space="preserve">This </w:t>
      </w:r>
      <w:r w:rsidR="001F59F5">
        <w:rPr>
          <w:rFonts w:ascii="Times New Roman" w:hAnsi="Times New Roman" w:cs="Times New Roman"/>
        </w:rPr>
        <w:t>database</w:t>
      </w:r>
      <w:r w:rsidRPr="006E15D6">
        <w:rPr>
          <w:rFonts w:ascii="Times New Roman" w:hAnsi="Times New Roman" w:cs="Times New Roman"/>
        </w:rPr>
        <w:t xml:space="preserve"> contains whole-rock geochemistry for 30</w:t>
      </w:r>
      <w:r w:rsidR="00AD3F27">
        <w:rPr>
          <w:rFonts w:ascii="Times New Roman" w:hAnsi="Times New Roman" w:cs="Times New Roman"/>
        </w:rPr>
        <w:t>4</w:t>
      </w:r>
      <w:r w:rsidRPr="006E15D6">
        <w:rPr>
          <w:rFonts w:ascii="Times New Roman" w:hAnsi="Times New Roman" w:cs="Times New Roman"/>
        </w:rPr>
        <w:t xml:space="preserve"> samples collected in </w:t>
      </w:r>
      <w:r w:rsidR="00C204C8">
        <w:rPr>
          <w:rFonts w:ascii="Times New Roman" w:hAnsi="Times New Roman" w:cs="Times New Roman"/>
        </w:rPr>
        <w:t xml:space="preserve">the </w:t>
      </w:r>
      <w:r w:rsidRPr="006E15D6">
        <w:rPr>
          <w:rFonts w:ascii="Times New Roman" w:hAnsi="Times New Roman" w:cs="Times New Roman"/>
        </w:rPr>
        <w:t xml:space="preserve">southern Buchans-Roberts Arm Belt, primarily from drillcore, but also includes several grab samples collected from outcrop. These samples were collected as part of deposit-level studies focusing on volcanogenic massive sulphide occurrences in the region. Samples were primarily collected from drillholes targeting known occurrences of base-metal mineralization and include representative samples of both mineralized and altered material as well as relatively unaltered country rock.  </w:t>
      </w:r>
    </w:p>
    <w:p w14:paraId="37DB7456" w14:textId="6393C6CC" w:rsidR="006E15D6" w:rsidRPr="006E15D6" w:rsidRDefault="006E15D6" w:rsidP="006E15D6">
      <w:pPr>
        <w:rPr>
          <w:rFonts w:ascii="Times New Roman" w:hAnsi="Times New Roman" w:cs="Times New Roman"/>
        </w:rPr>
      </w:pPr>
      <w:r w:rsidRPr="006E15D6">
        <w:rPr>
          <w:rFonts w:ascii="Times New Roman" w:hAnsi="Times New Roman" w:cs="Times New Roman"/>
        </w:rPr>
        <w:tab/>
        <w:t xml:space="preserve">This database contains the results of major, trace and rare-earth element analyses </w:t>
      </w:r>
      <w:r w:rsidR="001F59F5">
        <w:rPr>
          <w:rFonts w:ascii="Times New Roman" w:hAnsi="Times New Roman" w:cs="Times New Roman"/>
        </w:rPr>
        <w:t>and</w:t>
      </w:r>
      <w:r w:rsidRPr="006E15D6">
        <w:rPr>
          <w:rFonts w:ascii="Times New Roman" w:hAnsi="Times New Roman" w:cs="Times New Roman"/>
        </w:rPr>
        <w:t xml:space="preserve"> includes sample location data in Universal Transverse Mercator (UTM) eastings and northings, provided in NAD 83 (Zone 21)</w:t>
      </w:r>
      <w:r>
        <w:rPr>
          <w:rFonts w:ascii="Times New Roman" w:hAnsi="Times New Roman" w:cs="Times New Roman"/>
        </w:rPr>
        <w:t xml:space="preserve">; </w:t>
      </w:r>
      <w:r w:rsidRPr="006E15D6">
        <w:rPr>
          <w:rFonts w:ascii="Times New Roman" w:hAnsi="Times New Roman" w:cs="Times New Roman"/>
        </w:rPr>
        <w:t xml:space="preserve">brief sample descriptions </w:t>
      </w:r>
      <w:r>
        <w:rPr>
          <w:rFonts w:ascii="Times New Roman" w:hAnsi="Times New Roman" w:cs="Times New Roman"/>
        </w:rPr>
        <w:t xml:space="preserve">can be found in </w:t>
      </w:r>
      <w:r w:rsidRPr="006E15D6">
        <w:rPr>
          <w:rFonts w:ascii="Times New Roman" w:hAnsi="Times New Roman" w:cs="Times New Roman"/>
        </w:rPr>
        <w:t xml:space="preserve">Appendix </w:t>
      </w:r>
      <w:r w:rsidR="00C204C8">
        <w:rPr>
          <w:rFonts w:ascii="Times New Roman" w:hAnsi="Times New Roman" w:cs="Times New Roman"/>
        </w:rPr>
        <w:t>A3</w:t>
      </w:r>
      <w:r w:rsidRPr="006E15D6">
        <w:rPr>
          <w:rFonts w:ascii="Times New Roman" w:hAnsi="Times New Roman" w:cs="Times New Roman"/>
        </w:rPr>
        <w:t xml:space="preserve">. </w:t>
      </w:r>
    </w:p>
    <w:p w14:paraId="790ACE59" w14:textId="373E77B2" w:rsidR="006E15D6" w:rsidRPr="006E15D6" w:rsidRDefault="006E15D6" w:rsidP="006E15D6">
      <w:pPr>
        <w:ind w:firstLine="720"/>
        <w:rPr>
          <w:rFonts w:ascii="Times New Roman" w:hAnsi="Times New Roman" w:cs="Times New Roman"/>
        </w:rPr>
      </w:pPr>
      <w:r w:rsidRPr="006E15D6">
        <w:rPr>
          <w:rFonts w:ascii="Times New Roman" w:hAnsi="Times New Roman" w:cs="Times New Roman"/>
        </w:rPr>
        <w:t xml:space="preserve">Samples were prepared at the Geological Survey of Newfoundland and Labrador’s (GSNL) Geochemistry Laboratory in St. John’s. Internal analyses carried out at the GSNL laboratory follow the methods outlined by Finch </w:t>
      </w:r>
      <w:r w:rsidRPr="006E15D6">
        <w:rPr>
          <w:rFonts w:ascii="Times New Roman" w:hAnsi="Times New Roman" w:cs="Times New Roman"/>
          <w:i/>
        </w:rPr>
        <w:t>et al</w:t>
      </w:r>
      <w:r w:rsidRPr="006E15D6">
        <w:rPr>
          <w:rFonts w:ascii="Times New Roman" w:hAnsi="Times New Roman" w:cs="Times New Roman"/>
        </w:rPr>
        <w:t>. (2018). Select samples were also submitted for external Instrumental Neutron Activation Analysis (INAA) at Bureau Veritas</w:t>
      </w:r>
      <w:r>
        <w:rPr>
          <w:rFonts w:ascii="Times New Roman" w:hAnsi="Times New Roman" w:cs="Times New Roman"/>
        </w:rPr>
        <w:t xml:space="preserve"> </w:t>
      </w:r>
      <w:r w:rsidRPr="006E15D6">
        <w:rPr>
          <w:rFonts w:ascii="Times New Roman" w:hAnsi="Times New Roman" w:cs="Times New Roman"/>
        </w:rPr>
        <w:t>in Ontario</w:t>
      </w:r>
      <w:r>
        <w:rPr>
          <w:rFonts w:ascii="Times New Roman" w:hAnsi="Times New Roman" w:cs="Times New Roman"/>
        </w:rPr>
        <w:t xml:space="preserve"> and </w:t>
      </w:r>
      <w:r w:rsidRPr="006E15D6">
        <w:rPr>
          <w:rFonts w:ascii="Times New Roman" w:hAnsi="Times New Roman" w:cs="Times New Roman"/>
        </w:rPr>
        <w:t xml:space="preserve">Cold </w:t>
      </w:r>
      <w:proofErr w:type="spellStart"/>
      <w:r w:rsidRPr="006E15D6">
        <w:rPr>
          <w:rFonts w:ascii="Times New Roman" w:hAnsi="Times New Roman" w:cs="Times New Roman"/>
        </w:rPr>
        <w:t>Vapour</w:t>
      </w:r>
      <w:proofErr w:type="spellEnd"/>
      <w:r w:rsidRPr="006E15D6">
        <w:rPr>
          <w:rFonts w:ascii="Times New Roman" w:hAnsi="Times New Roman" w:cs="Times New Roman"/>
        </w:rPr>
        <w:t>-Atomic Absorption Spectrometry (CV-AAS)</w:t>
      </w:r>
      <w:r w:rsidR="00D75AAE" w:rsidRPr="00D75AAE">
        <w:t xml:space="preserve"> </w:t>
      </w:r>
      <w:r w:rsidR="00D75AAE" w:rsidRPr="00D75AAE">
        <w:rPr>
          <w:rFonts w:ascii="Times New Roman" w:hAnsi="Times New Roman" w:cs="Times New Roman"/>
        </w:rPr>
        <w:t>mercury analysis</w:t>
      </w:r>
      <w:r w:rsidR="00D75AAE">
        <w:rPr>
          <w:rFonts w:ascii="Times New Roman" w:hAnsi="Times New Roman" w:cs="Times New Roman"/>
        </w:rPr>
        <w:t xml:space="preserve"> at</w:t>
      </w:r>
      <w:r w:rsidR="00D75AAE" w:rsidRPr="00D75AAE">
        <w:rPr>
          <w:rFonts w:ascii="Times New Roman" w:hAnsi="Times New Roman" w:cs="Times New Roman"/>
        </w:rPr>
        <w:t xml:space="preserve"> </w:t>
      </w:r>
      <w:proofErr w:type="spellStart"/>
      <w:r w:rsidR="00D75AAE" w:rsidRPr="00D75AAE">
        <w:rPr>
          <w:rFonts w:ascii="Times New Roman" w:hAnsi="Times New Roman" w:cs="Times New Roman"/>
        </w:rPr>
        <w:t>Act</w:t>
      </w:r>
      <w:r w:rsidR="00C204C8">
        <w:rPr>
          <w:rFonts w:ascii="Times New Roman" w:hAnsi="Times New Roman" w:cs="Times New Roman"/>
        </w:rPr>
        <w:t>l</w:t>
      </w:r>
      <w:r w:rsidR="00D75AAE" w:rsidRPr="00D75AAE">
        <w:rPr>
          <w:rFonts w:ascii="Times New Roman" w:hAnsi="Times New Roman" w:cs="Times New Roman"/>
        </w:rPr>
        <w:t>abs</w:t>
      </w:r>
      <w:proofErr w:type="spellEnd"/>
      <w:r w:rsidR="00D75AAE" w:rsidRPr="00D75AAE">
        <w:rPr>
          <w:rFonts w:ascii="Times New Roman" w:hAnsi="Times New Roman" w:cs="Times New Roman"/>
        </w:rPr>
        <w:t xml:space="preserve"> in </w:t>
      </w:r>
      <w:proofErr w:type="spellStart"/>
      <w:r w:rsidR="00D75AAE" w:rsidRPr="00D75AAE">
        <w:rPr>
          <w:rFonts w:ascii="Times New Roman" w:hAnsi="Times New Roman" w:cs="Times New Roman"/>
        </w:rPr>
        <w:t>Ancaster</w:t>
      </w:r>
      <w:proofErr w:type="spellEnd"/>
      <w:r w:rsidR="00D75AAE" w:rsidRPr="00D75AAE">
        <w:rPr>
          <w:rFonts w:ascii="Times New Roman" w:hAnsi="Times New Roman" w:cs="Times New Roman"/>
        </w:rPr>
        <w:t>, Ontario</w:t>
      </w:r>
      <w:r w:rsidRPr="006E15D6">
        <w:rPr>
          <w:rFonts w:ascii="Times New Roman" w:hAnsi="Times New Roman" w:cs="Times New Roman"/>
        </w:rPr>
        <w:t xml:space="preserve">. The following represents </w:t>
      </w:r>
      <w:proofErr w:type="gramStart"/>
      <w:r w:rsidRPr="006E15D6">
        <w:rPr>
          <w:rFonts w:ascii="Times New Roman" w:hAnsi="Times New Roman" w:cs="Times New Roman"/>
        </w:rPr>
        <w:t>a brief summary</w:t>
      </w:r>
      <w:proofErr w:type="gramEnd"/>
      <w:r w:rsidRPr="006E15D6">
        <w:rPr>
          <w:rFonts w:ascii="Times New Roman" w:hAnsi="Times New Roman" w:cs="Times New Roman"/>
        </w:rPr>
        <w:t xml:space="preserve"> of select analytical procedures utilized in determining the elements included in this </w:t>
      </w:r>
      <w:r w:rsidR="00D75AAE">
        <w:rPr>
          <w:rFonts w:ascii="Times New Roman" w:hAnsi="Times New Roman" w:cs="Times New Roman"/>
        </w:rPr>
        <w:t>study</w:t>
      </w:r>
      <w:r w:rsidRPr="006E15D6">
        <w:rPr>
          <w:rFonts w:ascii="Times New Roman" w:hAnsi="Times New Roman" w:cs="Times New Roman"/>
        </w:rPr>
        <w:t xml:space="preserve">; a more detailed description can be found in Finch </w:t>
      </w:r>
      <w:r w:rsidRPr="006E15D6">
        <w:rPr>
          <w:rFonts w:ascii="Times New Roman" w:hAnsi="Times New Roman" w:cs="Times New Roman"/>
          <w:i/>
        </w:rPr>
        <w:t>et al</w:t>
      </w:r>
      <w:r w:rsidRPr="006E15D6">
        <w:rPr>
          <w:rFonts w:ascii="Times New Roman" w:hAnsi="Times New Roman" w:cs="Times New Roman"/>
        </w:rPr>
        <w:t xml:space="preserve">. (2018). </w:t>
      </w:r>
    </w:p>
    <w:p w14:paraId="21608E28" w14:textId="2A07113B" w:rsidR="0051321C" w:rsidRPr="006E15D6" w:rsidRDefault="006E15D6" w:rsidP="006E15D6">
      <w:pPr>
        <w:ind w:firstLine="720"/>
        <w:rPr>
          <w:rFonts w:ascii="Times New Roman" w:hAnsi="Times New Roman" w:cs="Times New Roman"/>
        </w:rPr>
      </w:pPr>
      <w:r w:rsidRPr="006E15D6">
        <w:rPr>
          <w:rFonts w:ascii="Times New Roman" w:hAnsi="Times New Roman" w:cs="Times New Roman"/>
        </w:rPr>
        <w:t xml:space="preserve"> Major-elements plus select trace-elements were analyzed by inductively coupled plasma optical emission spectrometry (ICP-OES) following lithium tetraborate and metaborate fusion. Loss-on-ignition (LOI) and ferrous iron (</w:t>
      </w:r>
      <w:proofErr w:type="spellStart"/>
      <w:r w:rsidRPr="006E15D6">
        <w:rPr>
          <w:rFonts w:ascii="Times New Roman" w:hAnsi="Times New Roman" w:cs="Times New Roman"/>
        </w:rPr>
        <w:t>FeO</w:t>
      </w:r>
      <w:proofErr w:type="spellEnd"/>
      <w:r w:rsidRPr="006E15D6">
        <w:rPr>
          <w:rFonts w:ascii="Times New Roman" w:hAnsi="Times New Roman" w:cs="Times New Roman"/>
        </w:rPr>
        <w:t xml:space="preserve">) values are also included with the </w:t>
      </w:r>
      <w:proofErr w:type="gramStart"/>
      <w:r w:rsidRPr="006E15D6">
        <w:rPr>
          <w:rFonts w:ascii="Times New Roman" w:hAnsi="Times New Roman" w:cs="Times New Roman"/>
        </w:rPr>
        <w:t>major-elements</w:t>
      </w:r>
      <w:proofErr w:type="gramEnd"/>
      <w:r w:rsidRPr="006E15D6">
        <w:rPr>
          <w:rFonts w:ascii="Times New Roman" w:hAnsi="Times New Roman" w:cs="Times New Roman"/>
        </w:rPr>
        <w:t xml:space="preserve"> and are determined through gravimetric and titration methods, respectively (</w:t>
      </w:r>
      <w:r w:rsidRPr="006E15D6">
        <w:rPr>
          <w:rFonts w:ascii="Times New Roman" w:hAnsi="Times New Roman" w:cs="Times New Roman"/>
          <w:i/>
        </w:rPr>
        <w:t>c.f.</w:t>
      </w:r>
      <w:r w:rsidRPr="006E15D6">
        <w:rPr>
          <w:rFonts w:ascii="Times New Roman" w:hAnsi="Times New Roman" w:cs="Times New Roman"/>
        </w:rPr>
        <w:t xml:space="preserve"> Finch </w:t>
      </w:r>
      <w:r w:rsidRPr="006E15D6">
        <w:rPr>
          <w:rFonts w:ascii="Times New Roman" w:hAnsi="Times New Roman" w:cs="Times New Roman"/>
          <w:i/>
        </w:rPr>
        <w:t>et al</w:t>
      </w:r>
      <w:r w:rsidRPr="006E15D6">
        <w:rPr>
          <w:rFonts w:ascii="Times New Roman" w:hAnsi="Times New Roman" w:cs="Times New Roman"/>
        </w:rPr>
        <w:t>., 2018). Select trace-elements are also provided by ICP-OES following a four acid (HF-HCl-HNO</w:t>
      </w:r>
      <w:r w:rsidRPr="006E15D6">
        <w:rPr>
          <w:rFonts w:ascii="Times New Roman" w:hAnsi="Times New Roman" w:cs="Times New Roman"/>
          <w:vertAlign w:val="subscript"/>
        </w:rPr>
        <w:t>3</w:t>
      </w:r>
      <w:r w:rsidRPr="006E15D6">
        <w:rPr>
          <w:rFonts w:ascii="Times New Roman" w:hAnsi="Times New Roman" w:cs="Times New Roman"/>
        </w:rPr>
        <w:t>-HClO</w:t>
      </w:r>
      <w:r w:rsidRPr="006E15D6">
        <w:rPr>
          <w:rFonts w:ascii="Times New Roman" w:hAnsi="Times New Roman" w:cs="Times New Roman"/>
          <w:vertAlign w:val="subscript"/>
        </w:rPr>
        <w:t>4</w:t>
      </w:r>
      <w:r w:rsidRPr="006E15D6">
        <w:rPr>
          <w:rFonts w:ascii="Times New Roman" w:hAnsi="Times New Roman" w:cs="Times New Roman"/>
        </w:rPr>
        <w:t>) total digestion. The remaining trace-elements are determined by ICP-MS after a four acid (HF-HCl-HNO</w:t>
      </w:r>
      <w:r w:rsidRPr="006E15D6">
        <w:rPr>
          <w:rFonts w:ascii="Times New Roman" w:hAnsi="Times New Roman" w:cs="Times New Roman"/>
          <w:vertAlign w:val="subscript"/>
        </w:rPr>
        <w:t>3</w:t>
      </w:r>
      <w:r w:rsidRPr="006E15D6">
        <w:rPr>
          <w:rFonts w:ascii="Times New Roman" w:hAnsi="Times New Roman" w:cs="Times New Roman"/>
        </w:rPr>
        <w:t>-HClO</w:t>
      </w:r>
      <w:r w:rsidRPr="006E15D6">
        <w:rPr>
          <w:rFonts w:ascii="Times New Roman" w:hAnsi="Times New Roman" w:cs="Times New Roman"/>
          <w:vertAlign w:val="subscript"/>
        </w:rPr>
        <w:t>4</w:t>
      </w:r>
      <w:r w:rsidRPr="006E15D6">
        <w:rPr>
          <w:rFonts w:ascii="Times New Roman" w:hAnsi="Times New Roman" w:cs="Times New Roman"/>
        </w:rPr>
        <w:t xml:space="preserve">) total digestion. Fluoride values are provided by ion-selective electrode analysis following alkaline fusion. Silver analyses are done through ICP-OES following </w:t>
      </w:r>
      <w:proofErr w:type="gramStart"/>
      <w:r w:rsidRPr="006E15D6">
        <w:rPr>
          <w:rFonts w:ascii="Times New Roman" w:hAnsi="Times New Roman" w:cs="Times New Roman"/>
        </w:rPr>
        <w:t>a nitric</w:t>
      </w:r>
      <w:proofErr w:type="gramEnd"/>
      <w:r w:rsidRPr="006E15D6">
        <w:rPr>
          <w:rFonts w:ascii="Times New Roman" w:hAnsi="Times New Roman" w:cs="Times New Roman"/>
        </w:rPr>
        <w:t xml:space="preserve"> acid digestion. The procedure for external INAA analysis is summarized in Finch </w:t>
      </w:r>
      <w:r w:rsidRPr="006E15D6">
        <w:rPr>
          <w:rFonts w:ascii="Times New Roman" w:hAnsi="Times New Roman" w:cs="Times New Roman"/>
          <w:i/>
        </w:rPr>
        <w:t>et al</w:t>
      </w:r>
      <w:r w:rsidRPr="006E15D6">
        <w:rPr>
          <w:rFonts w:ascii="Times New Roman" w:hAnsi="Times New Roman" w:cs="Times New Roman"/>
        </w:rPr>
        <w:t xml:space="preserve">. (2018). Representative photographs of the rocks sampled for geochemistry are contained in Appendix </w:t>
      </w:r>
      <w:r w:rsidR="00C204C8">
        <w:rPr>
          <w:rFonts w:ascii="Times New Roman" w:hAnsi="Times New Roman" w:cs="Times New Roman"/>
        </w:rPr>
        <w:t>B</w:t>
      </w:r>
      <w:r w:rsidR="00A10365">
        <w:rPr>
          <w:rFonts w:ascii="Times New Roman" w:hAnsi="Times New Roman" w:cs="Times New Roman"/>
        </w:rPr>
        <w:t>6</w:t>
      </w:r>
      <w:r w:rsidRPr="006E15D6">
        <w:rPr>
          <w:rFonts w:ascii="Times New Roman" w:hAnsi="Times New Roman" w:cs="Times New Roman"/>
        </w:rPr>
        <w:t>. All databases are available in digital format (</w:t>
      </w:r>
      <w:r w:rsidRPr="006E15D6">
        <w:rPr>
          <w:rFonts w:ascii="Times New Roman" w:hAnsi="Times New Roman" w:cs="Times New Roman"/>
          <w:i/>
        </w:rPr>
        <w:t>i.e.</w:t>
      </w:r>
      <w:r w:rsidRPr="006E15D6">
        <w:rPr>
          <w:rFonts w:ascii="Times New Roman" w:hAnsi="Times New Roman" w:cs="Times New Roman"/>
        </w:rPr>
        <w:t xml:space="preserve"> *.csv comma-separated value files) through the link provided in the Appendices section.  </w:t>
      </w:r>
    </w:p>
    <w:p w14:paraId="4E5C721B" w14:textId="44937B22" w:rsidR="006151F9" w:rsidRDefault="008E4BB8">
      <w:r w:rsidRPr="008E4BB8">
        <w:rPr>
          <w:noProof/>
        </w:rPr>
        <w:lastRenderedPageBreak/>
        <w:drawing>
          <wp:inline distT="0" distB="0" distL="0" distR="0" wp14:anchorId="7134F38C" wp14:editId="198F400A">
            <wp:extent cx="5943600" cy="1862455"/>
            <wp:effectExtent l="0" t="0" r="0" b="4445"/>
            <wp:docPr id="1462251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1862455"/>
                    </a:xfrm>
                    <a:prstGeom prst="rect">
                      <a:avLst/>
                    </a:prstGeom>
                    <a:noFill/>
                    <a:ln>
                      <a:noFill/>
                    </a:ln>
                  </pic:spPr>
                </pic:pic>
              </a:graphicData>
            </a:graphic>
          </wp:inline>
        </w:drawing>
      </w:r>
    </w:p>
    <w:p w14:paraId="41505272" w14:textId="1313EEFD" w:rsidR="008E4BB8" w:rsidRDefault="008E4BB8">
      <w:r>
        <w:fldChar w:fldCharType="begin"/>
      </w:r>
      <w:r>
        <w:instrText xml:space="preserve"> LINK </w:instrText>
      </w:r>
      <w:r w:rsidR="00921B97">
        <w:instrText xml:space="preserve">Excel.Sheet.12 "\\\\PSNL.ca\\EM\\STJH\\Users2\\GregSparkes\\EpithermalProjectData\\OpenFileReleases\\NFLD_3512\\Table 2.xlsx" Sheet1!R1C1:R29C2 </w:instrText>
      </w:r>
      <w:r>
        <w:instrText xml:space="preserve">\a \f 5 \h  \* MERGEFORMAT </w:instrText>
      </w:r>
      <w:r>
        <w:fldChar w:fldCharType="separate"/>
      </w:r>
    </w:p>
    <w:tbl>
      <w:tblPr>
        <w:tblStyle w:val="TableGrid"/>
        <w:tblW w:w="8420" w:type="dxa"/>
        <w:tblLook w:val="04A0" w:firstRow="1" w:lastRow="0" w:firstColumn="1" w:lastColumn="0" w:noHBand="0" w:noVBand="1"/>
      </w:tblPr>
      <w:tblGrid>
        <w:gridCol w:w="4000"/>
        <w:gridCol w:w="4420"/>
      </w:tblGrid>
      <w:tr w:rsidR="008E4BB8" w:rsidRPr="008E4BB8" w14:paraId="0DB547C2" w14:textId="77777777" w:rsidTr="008E4BB8">
        <w:trPr>
          <w:trHeight w:val="315"/>
        </w:trPr>
        <w:tc>
          <w:tcPr>
            <w:tcW w:w="8420" w:type="dxa"/>
            <w:gridSpan w:val="2"/>
            <w:noWrap/>
            <w:hideMark/>
          </w:tcPr>
          <w:p w14:paraId="6F2C3334" w14:textId="60FF684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List of abbreviations and codes</w:t>
            </w:r>
          </w:p>
        </w:tc>
      </w:tr>
      <w:tr w:rsidR="008E4BB8" w:rsidRPr="008E4BB8" w14:paraId="33C5C3FB" w14:textId="77777777" w:rsidTr="008E4BB8">
        <w:trPr>
          <w:trHeight w:val="315"/>
        </w:trPr>
        <w:tc>
          <w:tcPr>
            <w:tcW w:w="4000" w:type="dxa"/>
            <w:hideMark/>
          </w:tcPr>
          <w:p w14:paraId="7E8E864F"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Abbreviation</w:t>
            </w:r>
          </w:p>
        </w:tc>
        <w:tc>
          <w:tcPr>
            <w:tcW w:w="4420" w:type="dxa"/>
            <w:hideMark/>
          </w:tcPr>
          <w:p w14:paraId="3CC384AD"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Explanation</w:t>
            </w:r>
          </w:p>
        </w:tc>
      </w:tr>
      <w:tr w:rsidR="008E4BB8" w:rsidRPr="008E4BB8" w14:paraId="0AEA3A2F" w14:textId="77777777" w:rsidTr="008E4BB8">
        <w:trPr>
          <w:trHeight w:val="315"/>
        </w:trPr>
        <w:tc>
          <w:tcPr>
            <w:tcW w:w="4000" w:type="dxa"/>
            <w:hideMark/>
          </w:tcPr>
          <w:p w14:paraId="44FC3393"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-99</w:t>
            </w:r>
          </w:p>
        </w:tc>
        <w:tc>
          <w:tcPr>
            <w:tcW w:w="4420" w:type="dxa"/>
            <w:hideMark/>
          </w:tcPr>
          <w:p w14:paraId="1A535B82"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Sample not analyzed for that element</w:t>
            </w:r>
          </w:p>
        </w:tc>
      </w:tr>
      <w:tr w:rsidR="008E4BB8" w:rsidRPr="008E4BB8" w14:paraId="3D4E5696" w14:textId="77777777" w:rsidTr="008E4BB8">
        <w:trPr>
          <w:trHeight w:val="315"/>
        </w:trPr>
        <w:tc>
          <w:tcPr>
            <w:tcW w:w="4000" w:type="dxa"/>
            <w:hideMark/>
          </w:tcPr>
          <w:p w14:paraId="56C6DA24"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Avg</w:t>
            </w:r>
          </w:p>
        </w:tc>
        <w:tc>
          <w:tcPr>
            <w:tcW w:w="4420" w:type="dxa"/>
            <w:hideMark/>
          </w:tcPr>
          <w:p w14:paraId="25AB7258"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Average value</w:t>
            </w:r>
          </w:p>
        </w:tc>
      </w:tr>
      <w:tr w:rsidR="008E4BB8" w:rsidRPr="008E4BB8" w14:paraId="748A0790" w14:textId="77777777" w:rsidTr="008E4BB8">
        <w:trPr>
          <w:trHeight w:val="315"/>
        </w:trPr>
        <w:tc>
          <w:tcPr>
            <w:tcW w:w="4000" w:type="dxa"/>
            <w:hideMark/>
          </w:tcPr>
          <w:p w14:paraId="015C9050"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Dup.</w:t>
            </w:r>
          </w:p>
        </w:tc>
        <w:tc>
          <w:tcPr>
            <w:tcW w:w="4420" w:type="dxa"/>
            <w:hideMark/>
          </w:tcPr>
          <w:p w14:paraId="5718FC0B"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Duplicate analysis</w:t>
            </w:r>
          </w:p>
        </w:tc>
      </w:tr>
      <w:tr w:rsidR="008E4BB8" w:rsidRPr="008E4BB8" w14:paraId="6B9DD44F" w14:textId="77777777" w:rsidTr="008E4BB8">
        <w:trPr>
          <w:trHeight w:val="390"/>
        </w:trPr>
        <w:tc>
          <w:tcPr>
            <w:tcW w:w="4000" w:type="dxa"/>
            <w:hideMark/>
          </w:tcPr>
          <w:p w14:paraId="6E51153F"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Fe</w:t>
            </w:r>
            <w:r w:rsidRPr="008E4BB8">
              <w:rPr>
                <w:rFonts w:ascii="Times New Roman" w:hAnsi="Times New Roman" w:cs="Times New Roman"/>
                <w:b/>
                <w:bCs/>
                <w:sz w:val="20"/>
                <w:szCs w:val="20"/>
                <w:vertAlign w:val="subscript"/>
              </w:rPr>
              <w:t>2</w:t>
            </w:r>
            <w:r w:rsidRPr="008E4BB8">
              <w:rPr>
                <w:rFonts w:ascii="Times New Roman" w:hAnsi="Times New Roman" w:cs="Times New Roman"/>
                <w:b/>
                <w:bCs/>
                <w:sz w:val="20"/>
                <w:szCs w:val="20"/>
              </w:rPr>
              <w:t>O</w:t>
            </w:r>
            <w:r w:rsidRPr="008E4BB8">
              <w:rPr>
                <w:rFonts w:ascii="Times New Roman" w:hAnsi="Times New Roman" w:cs="Times New Roman"/>
                <w:b/>
                <w:bCs/>
                <w:sz w:val="20"/>
                <w:szCs w:val="20"/>
                <w:vertAlign w:val="subscript"/>
              </w:rPr>
              <w:t>3</w:t>
            </w:r>
            <w:r w:rsidRPr="008E4BB8">
              <w:rPr>
                <w:rFonts w:ascii="Times New Roman" w:hAnsi="Times New Roman" w:cs="Times New Roman"/>
                <w:b/>
                <w:bCs/>
                <w:sz w:val="20"/>
                <w:szCs w:val="20"/>
                <w:vertAlign w:val="superscript"/>
              </w:rPr>
              <w:t>T</w:t>
            </w:r>
          </w:p>
        </w:tc>
        <w:tc>
          <w:tcPr>
            <w:tcW w:w="4420" w:type="dxa"/>
            <w:hideMark/>
          </w:tcPr>
          <w:p w14:paraId="37A90E7E"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Total measured Iron</w:t>
            </w:r>
          </w:p>
        </w:tc>
      </w:tr>
      <w:tr w:rsidR="008E4BB8" w:rsidRPr="008E4BB8" w14:paraId="532D02B5" w14:textId="77777777" w:rsidTr="00BB5942">
        <w:trPr>
          <w:trHeight w:val="260"/>
        </w:trPr>
        <w:tc>
          <w:tcPr>
            <w:tcW w:w="4000" w:type="dxa"/>
            <w:hideMark/>
          </w:tcPr>
          <w:p w14:paraId="20E6C10E" w14:textId="77777777" w:rsidR="008E4BB8" w:rsidRPr="008E4BB8" w:rsidRDefault="008E4BB8">
            <w:pPr>
              <w:rPr>
                <w:rFonts w:ascii="Times New Roman" w:hAnsi="Times New Roman" w:cs="Times New Roman"/>
                <w:b/>
                <w:bCs/>
                <w:sz w:val="20"/>
                <w:szCs w:val="20"/>
              </w:rPr>
            </w:pPr>
            <w:proofErr w:type="spellStart"/>
            <w:r w:rsidRPr="008E4BB8">
              <w:rPr>
                <w:rFonts w:ascii="Times New Roman" w:hAnsi="Times New Roman" w:cs="Times New Roman"/>
                <w:b/>
                <w:bCs/>
                <w:sz w:val="20"/>
                <w:szCs w:val="20"/>
              </w:rPr>
              <w:t>FeO</w:t>
            </w:r>
            <w:r w:rsidRPr="008E4BB8">
              <w:rPr>
                <w:rFonts w:ascii="Times New Roman" w:hAnsi="Times New Roman" w:cs="Times New Roman"/>
                <w:b/>
                <w:bCs/>
                <w:sz w:val="20"/>
                <w:szCs w:val="20"/>
                <w:vertAlign w:val="superscript"/>
              </w:rPr>
              <w:t>T</w:t>
            </w:r>
            <w:proofErr w:type="spellEnd"/>
          </w:p>
        </w:tc>
        <w:tc>
          <w:tcPr>
            <w:tcW w:w="4420" w:type="dxa"/>
            <w:hideMark/>
          </w:tcPr>
          <w:p w14:paraId="4F88EE5B" w14:textId="77777777" w:rsidR="008E4BB8" w:rsidRPr="00BB5942" w:rsidRDefault="008E4BB8" w:rsidP="00BB5942">
            <w:pPr>
              <w:rPr>
                <w:rFonts w:ascii="Times New Roman" w:hAnsi="Times New Roman" w:cs="Times New Roman"/>
                <w:sz w:val="20"/>
                <w:szCs w:val="20"/>
              </w:rPr>
            </w:pPr>
            <w:proofErr w:type="gramStart"/>
            <w:r w:rsidRPr="00BB5942">
              <w:rPr>
                <w:rFonts w:ascii="Times New Roman" w:hAnsi="Times New Roman" w:cs="Times New Roman"/>
                <w:sz w:val="20"/>
                <w:szCs w:val="20"/>
              </w:rPr>
              <w:t>total</w:t>
            </w:r>
            <w:proofErr w:type="gramEnd"/>
            <w:r w:rsidRPr="00BB5942">
              <w:rPr>
                <w:rFonts w:ascii="Times New Roman" w:hAnsi="Times New Roman" w:cs="Times New Roman"/>
                <w:sz w:val="20"/>
                <w:szCs w:val="20"/>
              </w:rPr>
              <w:t xml:space="preserve"> iron (II), calculated from total measured iron</w:t>
            </w:r>
          </w:p>
        </w:tc>
      </w:tr>
      <w:tr w:rsidR="008E4BB8" w:rsidRPr="008E4BB8" w14:paraId="4749C4E1" w14:textId="77777777" w:rsidTr="00BB5942">
        <w:trPr>
          <w:trHeight w:val="251"/>
        </w:trPr>
        <w:tc>
          <w:tcPr>
            <w:tcW w:w="4000" w:type="dxa"/>
            <w:hideMark/>
          </w:tcPr>
          <w:p w14:paraId="00CDB7F1"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GSNL</w:t>
            </w:r>
          </w:p>
        </w:tc>
        <w:tc>
          <w:tcPr>
            <w:tcW w:w="4420" w:type="dxa"/>
            <w:hideMark/>
          </w:tcPr>
          <w:p w14:paraId="6F165863"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Geological Survey of Newfoundland and Labrador</w:t>
            </w:r>
          </w:p>
        </w:tc>
      </w:tr>
      <w:tr w:rsidR="008E4BB8" w:rsidRPr="008E4BB8" w14:paraId="00CC1E5B" w14:textId="77777777" w:rsidTr="008E4BB8">
        <w:trPr>
          <w:trHeight w:val="315"/>
        </w:trPr>
        <w:tc>
          <w:tcPr>
            <w:tcW w:w="4000" w:type="dxa"/>
            <w:hideMark/>
          </w:tcPr>
          <w:p w14:paraId="7412B4F1"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Grav.</w:t>
            </w:r>
          </w:p>
        </w:tc>
        <w:tc>
          <w:tcPr>
            <w:tcW w:w="4420" w:type="dxa"/>
            <w:hideMark/>
          </w:tcPr>
          <w:p w14:paraId="0CB46D27"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Gravimetric</w:t>
            </w:r>
          </w:p>
        </w:tc>
      </w:tr>
      <w:tr w:rsidR="008E4BB8" w:rsidRPr="008E4BB8" w14:paraId="31BF954B" w14:textId="77777777" w:rsidTr="00BB5942">
        <w:trPr>
          <w:trHeight w:val="305"/>
        </w:trPr>
        <w:tc>
          <w:tcPr>
            <w:tcW w:w="4000" w:type="dxa"/>
            <w:hideMark/>
          </w:tcPr>
          <w:p w14:paraId="31B52A7A"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CV-AAS</w:t>
            </w:r>
          </w:p>
        </w:tc>
        <w:tc>
          <w:tcPr>
            <w:tcW w:w="4420" w:type="dxa"/>
            <w:hideMark/>
          </w:tcPr>
          <w:p w14:paraId="0E2B649D"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 xml:space="preserve">Cold </w:t>
            </w:r>
            <w:proofErr w:type="spellStart"/>
            <w:r w:rsidRPr="00BB5942">
              <w:rPr>
                <w:rFonts w:ascii="Times New Roman" w:hAnsi="Times New Roman" w:cs="Times New Roman"/>
                <w:sz w:val="20"/>
                <w:szCs w:val="20"/>
              </w:rPr>
              <w:t>Vapour</w:t>
            </w:r>
            <w:proofErr w:type="spellEnd"/>
            <w:r w:rsidRPr="00BB5942">
              <w:rPr>
                <w:rFonts w:ascii="Times New Roman" w:hAnsi="Times New Roman" w:cs="Times New Roman"/>
                <w:sz w:val="20"/>
                <w:szCs w:val="20"/>
              </w:rPr>
              <w:t xml:space="preserve"> Atomic Absorption Spectrophotometry</w:t>
            </w:r>
          </w:p>
        </w:tc>
      </w:tr>
      <w:tr w:rsidR="008E4BB8" w:rsidRPr="008E4BB8" w14:paraId="7AB4B681" w14:textId="77777777" w:rsidTr="00BB5942">
        <w:trPr>
          <w:trHeight w:val="521"/>
        </w:trPr>
        <w:tc>
          <w:tcPr>
            <w:tcW w:w="4000" w:type="dxa"/>
            <w:hideMark/>
          </w:tcPr>
          <w:p w14:paraId="1DCF2D8F"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 xml:space="preserve">ICP-MS-FUS </w:t>
            </w:r>
          </w:p>
        </w:tc>
        <w:tc>
          <w:tcPr>
            <w:tcW w:w="4420" w:type="dxa"/>
            <w:hideMark/>
          </w:tcPr>
          <w:p w14:paraId="301397D6"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Inductively Coupled Plasma Mass Spectrometry following lithium metaborate/tetraborate fusion</w:t>
            </w:r>
          </w:p>
        </w:tc>
      </w:tr>
      <w:tr w:rsidR="008E4BB8" w:rsidRPr="008E4BB8" w14:paraId="1C38C0F5" w14:textId="77777777" w:rsidTr="00BB5942">
        <w:trPr>
          <w:trHeight w:val="710"/>
        </w:trPr>
        <w:tc>
          <w:tcPr>
            <w:tcW w:w="4000" w:type="dxa"/>
            <w:hideMark/>
          </w:tcPr>
          <w:p w14:paraId="01CA7F8C"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 xml:space="preserve">ICP-OES 4ACID </w:t>
            </w:r>
          </w:p>
        </w:tc>
        <w:tc>
          <w:tcPr>
            <w:tcW w:w="4420" w:type="dxa"/>
            <w:hideMark/>
          </w:tcPr>
          <w:p w14:paraId="508BBF5A"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Inductively Coupled Plasma Optical Emission Spectrometry following HF-HCl-HNO</w:t>
            </w:r>
            <w:r w:rsidRPr="00BB5942">
              <w:rPr>
                <w:rFonts w:ascii="Times New Roman" w:hAnsi="Times New Roman" w:cs="Times New Roman"/>
                <w:sz w:val="20"/>
                <w:szCs w:val="20"/>
                <w:vertAlign w:val="subscript"/>
              </w:rPr>
              <w:t>3</w:t>
            </w:r>
            <w:r w:rsidRPr="00BB5942">
              <w:rPr>
                <w:rFonts w:ascii="Times New Roman" w:hAnsi="Times New Roman" w:cs="Times New Roman"/>
                <w:sz w:val="20"/>
                <w:szCs w:val="20"/>
              </w:rPr>
              <w:t>-HClO</w:t>
            </w:r>
            <w:r w:rsidRPr="00BB5942">
              <w:rPr>
                <w:rFonts w:ascii="Times New Roman" w:hAnsi="Times New Roman" w:cs="Times New Roman"/>
                <w:sz w:val="20"/>
                <w:szCs w:val="20"/>
                <w:vertAlign w:val="subscript"/>
              </w:rPr>
              <w:t>4</w:t>
            </w:r>
            <w:r w:rsidRPr="00BB5942">
              <w:rPr>
                <w:rFonts w:ascii="Times New Roman" w:hAnsi="Times New Roman" w:cs="Times New Roman"/>
                <w:sz w:val="20"/>
                <w:szCs w:val="20"/>
              </w:rPr>
              <w:t xml:space="preserve"> acid digestion</w:t>
            </w:r>
          </w:p>
        </w:tc>
      </w:tr>
      <w:tr w:rsidR="008E4BB8" w:rsidRPr="008E4BB8" w14:paraId="111AE3C9" w14:textId="77777777" w:rsidTr="00BB5942">
        <w:trPr>
          <w:trHeight w:val="719"/>
        </w:trPr>
        <w:tc>
          <w:tcPr>
            <w:tcW w:w="4000" w:type="dxa"/>
            <w:hideMark/>
          </w:tcPr>
          <w:p w14:paraId="484F38A4"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 xml:space="preserve">ICP-OES-FUS </w:t>
            </w:r>
          </w:p>
        </w:tc>
        <w:tc>
          <w:tcPr>
            <w:tcW w:w="4420" w:type="dxa"/>
            <w:hideMark/>
          </w:tcPr>
          <w:p w14:paraId="223CC9EA"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Inductively Coupled Plasma Optical Emission Spectrometry following lithium metaborate/tetraborate fusion</w:t>
            </w:r>
          </w:p>
        </w:tc>
      </w:tr>
      <w:tr w:rsidR="008E4BB8" w:rsidRPr="008E4BB8" w14:paraId="7FF20231" w14:textId="77777777" w:rsidTr="00BB5942">
        <w:trPr>
          <w:trHeight w:val="521"/>
        </w:trPr>
        <w:tc>
          <w:tcPr>
            <w:tcW w:w="4000" w:type="dxa"/>
            <w:hideMark/>
          </w:tcPr>
          <w:p w14:paraId="4FA15E53"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ICP-OES-HNO</w:t>
            </w:r>
            <w:r w:rsidRPr="008E4BB8">
              <w:rPr>
                <w:rFonts w:ascii="Times New Roman" w:hAnsi="Times New Roman" w:cs="Times New Roman"/>
                <w:b/>
                <w:bCs/>
                <w:sz w:val="20"/>
                <w:szCs w:val="20"/>
                <w:vertAlign w:val="subscript"/>
              </w:rPr>
              <w:t>3</w:t>
            </w:r>
            <w:r w:rsidRPr="008E4BB8">
              <w:rPr>
                <w:rFonts w:ascii="Times New Roman" w:hAnsi="Times New Roman" w:cs="Times New Roman"/>
                <w:b/>
                <w:bCs/>
                <w:sz w:val="20"/>
                <w:szCs w:val="20"/>
              </w:rPr>
              <w:t xml:space="preserve"> </w:t>
            </w:r>
          </w:p>
        </w:tc>
        <w:tc>
          <w:tcPr>
            <w:tcW w:w="4420" w:type="dxa"/>
            <w:hideMark/>
          </w:tcPr>
          <w:p w14:paraId="7CAC7ADA"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Inductively Coupled Plasma Optical Emission Spectrometry following nitric acid digestion</w:t>
            </w:r>
          </w:p>
        </w:tc>
      </w:tr>
      <w:tr w:rsidR="008E4BB8" w:rsidRPr="008E4BB8" w14:paraId="484E3555" w14:textId="77777777" w:rsidTr="008E4BB8">
        <w:trPr>
          <w:trHeight w:val="315"/>
        </w:trPr>
        <w:tc>
          <w:tcPr>
            <w:tcW w:w="4000" w:type="dxa"/>
            <w:hideMark/>
          </w:tcPr>
          <w:p w14:paraId="024AFB87"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INAA</w:t>
            </w:r>
          </w:p>
        </w:tc>
        <w:tc>
          <w:tcPr>
            <w:tcW w:w="4420" w:type="dxa"/>
            <w:hideMark/>
          </w:tcPr>
          <w:p w14:paraId="11A028E9"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Instrumental Neutron Activation Analysis</w:t>
            </w:r>
          </w:p>
        </w:tc>
      </w:tr>
      <w:tr w:rsidR="008E4BB8" w:rsidRPr="008E4BB8" w14:paraId="08FDC7E1" w14:textId="77777777" w:rsidTr="008E4BB8">
        <w:trPr>
          <w:trHeight w:val="315"/>
        </w:trPr>
        <w:tc>
          <w:tcPr>
            <w:tcW w:w="4000" w:type="dxa"/>
            <w:hideMark/>
          </w:tcPr>
          <w:p w14:paraId="7B60E1AE"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ISE</w:t>
            </w:r>
          </w:p>
        </w:tc>
        <w:tc>
          <w:tcPr>
            <w:tcW w:w="4420" w:type="dxa"/>
            <w:hideMark/>
          </w:tcPr>
          <w:p w14:paraId="4EBECE51"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Ion-selective Electrode</w:t>
            </w:r>
          </w:p>
        </w:tc>
      </w:tr>
      <w:tr w:rsidR="008E4BB8" w:rsidRPr="008E4BB8" w14:paraId="2BEBDD1C" w14:textId="77777777" w:rsidTr="008E4BB8">
        <w:trPr>
          <w:trHeight w:val="315"/>
        </w:trPr>
        <w:tc>
          <w:tcPr>
            <w:tcW w:w="4000" w:type="dxa"/>
            <w:hideMark/>
          </w:tcPr>
          <w:p w14:paraId="0AE9BD09"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CRM</w:t>
            </w:r>
          </w:p>
        </w:tc>
        <w:tc>
          <w:tcPr>
            <w:tcW w:w="4420" w:type="dxa"/>
            <w:hideMark/>
          </w:tcPr>
          <w:p w14:paraId="4405C1E2"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Certified Reference Material</w:t>
            </w:r>
          </w:p>
        </w:tc>
      </w:tr>
      <w:tr w:rsidR="008E4BB8" w:rsidRPr="008E4BB8" w14:paraId="2645D269" w14:textId="77777777" w:rsidTr="008E4BB8">
        <w:trPr>
          <w:trHeight w:val="315"/>
        </w:trPr>
        <w:tc>
          <w:tcPr>
            <w:tcW w:w="4000" w:type="dxa"/>
            <w:hideMark/>
          </w:tcPr>
          <w:p w14:paraId="128E4521"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DL</w:t>
            </w:r>
          </w:p>
        </w:tc>
        <w:tc>
          <w:tcPr>
            <w:tcW w:w="4420" w:type="dxa"/>
            <w:hideMark/>
          </w:tcPr>
          <w:p w14:paraId="76FEC12D"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Detection Limit</w:t>
            </w:r>
          </w:p>
        </w:tc>
      </w:tr>
      <w:tr w:rsidR="008E4BB8" w:rsidRPr="008E4BB8" w14:paraId="162FDE83" w14:textId="77777777" w:rsidTr="008E4BB8">
        <w:trPr>
          <w:trHeight w:val="315"/>
        </w:trPr>
        <w:tc>
          <w:tcPr>
            <w:tcW w:w="4000" w:type="dxa"/>
            <w:hideMark/>
          </w:tcPr>
          <w:p w14:paraId="5FA5D1BF"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LCL</w:t>
            </w:r>
          </w:p>
        </w:tc>
        <w:tc>
          <w:tcPr>
            <w:tcW w:w="4420" w:type="dxa"/>
            <w:hideMark/>
          </w:tcPr>
          <w:p w14:paraId="776C70CA"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Lower control limit</w:t>
            </w:r>
          </w:p>
        </w:tc>
      </w:tr>
      <w:tr w:rsidR="008E4BB8" w:rsidRPr="008E4BB8" w14:paraId="261222F8" w14:textId="77777777" w:rsidTr="008E4BB8">
        <w:trPr>
          <w:trHeight w:val="315"/>
        </w:trPr>
        <w:tc>
          <w:tcPr>
            <w:tcW w:w="4000" w:type="dxa"/>
            <w:hideMark/>
          </w:tcPr>
          <w:p w14:paraId="4577F512"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LOI</w:t>
            </w:r>
          </w:p>
        </w:tc>
        <w:tc>
          <w:tcPr>
            <w:tcW w:w="4420" w:type="dxa"/>
            <w:hideMark/>
          </w:tcPr>
          <w:p w14:paraId="26019732"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Loss on Ignition</w:t>
            </w:r>
          </w:p>
        </w:tc>
      </w:tr>
      <w:tr w:rsidR="008E4BB8" w:rsidRPr="008E4BB8" w14:paraId="2068F73B" w14:textId="77777777" w:rsidTr="008E4BB8">
        <w:trPr>
          <w:trHeight w:val="315"/>
        </w:trPr>
        <w:tc>
          <w:tcPr>
            <w:tcW w:w="4000" w:type="dxa"/>
            <w:hideMark/>
          </w:tcPr>
          <w:p w14:paraId="20D45AB7"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N/A</w:t>
            </w:r>
          </w:p>
        </w:tc>
        <w:tc>
          <w:tcPr>
            <w:tcW w:w="4420" w:type="dxa"/>
            <w:hideMark/>
          </w:tcPr>
          <w:p w14:paraId="0DA8D10F"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Not available</w:t>
            </w:r>
          </w:p>
        </w:tc>
      </w:tr>
      <w:tr w:rsidR="008E4BB8" w:rsidRPr="008E4BB8" w14:paraId="1537324B" w14:textId="77777777" w:rsidTr="008E4BB8">
        <w:trPr>
          <w:trHeight w:val="315"/>
        </w:trPr>
        <w:tc>
          <w:tcPr>
            <w:tcW w:w="4000" w:type="dxa"/>
            <w:hideMark/>
          </w:tcPr>
          <w:p w14:paraId="75E1508C"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pct</w:t>
            </w:r>
          </w:p>
        </w:tc>
        <w:tc>
          <w:tcPr>
            <w:tcW w:w="4420" w:type="dxa"/>
            <w:hideMark/>
          </w:tcPr>
          <w:p w14:paraId="5FDBFAF3"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 xml:space="preserve">Percent </w:t>
            </w:r>
          </w:p>
        </w:tc>
      </w:tr>
      <w:tr w:rsidR="008E4BB8" w:rsidRPr="008E4BB8" w14:paraId="4457E66D" w14:textId="77777777" w:rsidTr="008E4BB8">
        <w:trPr>
          <w:trHeight w:val="315"/>
        </w:trPr>
        <w:tc>
          <w:tcPr>
            <w:tcW w:w="4000" w:type="dxa"/>
            <w:hideMark/>
          </w:tcPr>
          <w:p w14:paraId="01911DF3"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ppb</w:t>
            </w:r>
          </w:p>
        </w:tc>
        <w:tc>
          <w:tcPr>
            <w:tcW w:w="4420" w:type="dxa"/>
            <w:hideMark/>
          </w:tcPr>
          <w:p w14:paraId="37369752"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Parts per billion</w:t>
            </w:r>
          </w:p>
        </w:tc>
      </w:tr>
      <w:tr w:rsidR="008E4BB8" w:rsidRPr="008E4BB8" w14:paraId="1452149A" w14:textId="77777777" w:rsidTr="008E4BB8">
        <w:trPr>
          <w:trHeight w:val="315"/>
        </w:trPr>
        <w:tc>
          <w:tcPr>
            <w:tcW w:w="4000" w:type="dxa"/>
            <w:hideMark/>
          </w:tcPr>
          <w:p w14:paraId="7B2FCD65"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ppm</w:t>
            </w:r>
          </w:p>
        </w:tc>
        <w:tc>
          <w:tcPr>
            <w:tcW w:w="4420" w:type="dxa"/>
            <w:hideMark/>
          </w:tcPr>
          <w:p w14:paraId="73E787CF"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Parts per million</w:t>
            </w:r>
          </w:p>
        </w:tc>
      </w:tr>
      <w:tr w:rsidR="008E4BB8" w:rsidRPr="008E4BB8" w14:paraId="5874FADB" w14:textId="77777777" w:rsidTr="008E4BB8">
        <w:trPr>
          <w:trHeight w:val="315"/>
        </w:trPr>
        <w:tc>
          <w:tcPr>
            <w:tcW w:w="4000" w:type="dxa"/>
            <w:hideMark/>
          </w:tcPr>
          <w:p w14:paraId="2BED09ED" w14:textId="77777777" w:rsidR="008E4BB8" w:rsidRPr="008E4BB8" w:rsidRDefault="008E4BB8">
            <w:pPr>
              <w:rPr>
                <w:rFonts w:ascii="Times New Roman" w:hAnsi="Times New Roman" w:cs="Times New Roman"/>
                <w:b/>
                <w:bCs/>
                <w:sz w:val="20"/>
                <w:szCs w:val="20"/>
              </w:rPr>
            </w:pPr>
            <w:proofErr w:type="spellStart"/>
            <w:r w:rsidRPr="008E4BB8">
              <w:rPr>
                <w:rFonts w:ascii="Times New Roman" w:hAnsi="Times New Roman" w:cs="Times New Roman"/>
                <w:b/>
                <w:bCs/>
                <w:sz w:val="20"/>
                <w:szCs w:val="20"/>
              </w:rPr>
              <w:t>Rec_Val</w:t>
            </w:r>
            <w:proofErr w:type="spellEnd"/>
            <w:r w:rsidRPr="008E4BB8">
              <w:rPr>
                <w:rFonts w:ascii="Times New Roman" w:hAnsi="Times New Roman" w:cs="Times New Roman"/>
                <w:b/>
                <w:bCs/>
                <w:sz w:val="20"/>
                <w:szCs w:val="20"/>
              </w:rPr>
              <w:t xml:space="preserve"> </w:t>
            </w:r>
          </w:p>
        </w:tc>
        <w:tc>
          <w:tcPr>
            <w:tcW w:w="4420" w:type="dxa"/>
            <w:hideMark/>
          </w:tcPr>
          <w:p w14:paraId="3FA2827E"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Recommended value</w:t>
            </w:r>
          </w:p>
        </w:tc>
      </w:tr>
      <w:tr w:rsidR="008E4BB8" w:rsidRPr="008E4BB8" w14:paraId="239D9DDD" w14:textId="77777777" w:rsidTr="008E4BB8">
        <w:trPr>
          <w:trHeight w:val="315"/>
        </w:trPr>
        <w:tc>
          <w:tcPr>
            <w:tcW w:w="4000" w:type="dxa"/>
            <w:hideMark/>
          </w:tcPr>
          <w:p w14:paraId="1AC890A8"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lastRenderedPageBreak/>
              <w:t>Ref</w:t>
            </w:r>
          </w:p>
        </w:tc>
        <w:tc>
          <w:tcPr>
            <w:tcW w:w="4420" w:type="dxa"/>
            <w:hideMark/>
          </w:tcPr>
          <w:p w14:paraId="1B62427E"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Reference</w:t>
            </w:r>
          </w:p>
        </w:tc>
      </w:tr>
      <w:tr w:rsidR="008E4BB8" w:rsidRPr="008E4BB8" w14:paraId="350C1F64" w14:textId="77777777" w:rsidTr="008E4BB8">
        <w:trPr>
          <w:trHeight w:val="315"/>
        </w:trPr>
        <w:tc>
          <w:tcPr>
            <w:tcW w:w="4000" w:type="dxa"/>
            <w:hideMark/>
          </w:tcPr>
          <w:p w14:paraId="70BDE2B3"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Std.</w:t>
            </w:r>
          </w:p>
        </w:tc>
        <w:tc>
          <w:tcPr>
            <w:tcW w:w="4420" w:type="dxa"/>
            <w:hideMark/>
          </w:tcPr>
          <w:p w14:paraId="3FAEEECE"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Standard</w:t>
            </w:r>
          </w:p>
        </w:tc>
      </w:tr>
      <w:tr w:rsidR="008E4BB8" w:rsidRPr="008E4BB8" w14:paraId="57A8639D" w14:textId="77777777" w:rsidTr="008E4BB8">
        <w:trPr>
          <w:trHeight w:val="315"/>
        </w:trPr>
        <w:tc>
          <w:tcPr>
            <w:tcW w:w="4000" w:type="dxa"/>
            <w:hideMark/>
          </w:tcPr>
          <w:p w14:paraId="2D1D0EE7" w14:textId="77777777" w:rsidR="008E4BB8" w:rsidRPr="008E4BB8" w:rsidRDefault="008E4BB8">
            <w:pPr>
              <w:rPr>
                <w:rFonts w:ascii="Times New Roman" w:hAnsi="Times New Roman" w:cs="Times New Roman"/>
                <w:b/>
                <w:bCs/>
                <w:sz w:val="20"/>
                <w:szCs w:val="20"/>
              </w:rPr>
            </w:pPr>
            <w:r w:rsidRPr="008E4BB8">
              <w:rPr>
                <w:rFonts w:ascii="Times New Roman" w:hAnsi="Times New Roman" w:cs="Times New Roman"/>
                <w:b/>
                <w:bCs/>
                <w:sz w:val="20"/>
                <w:szCs w:val="20"/>
              </w:rPr>
              <w:t>UCL</w:t>
            </w:r>
          </w:p>
        </w:tc>
        <w:tc>
          <w:tcPr>
            <w:tcW w:w="4420" w:type="dxa"/>
            <w:hideMark/>
          </w:tcPr>
          <w:p w14:paraId="4ED18A03"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Upper control limit</w:t>
            </w:r>
          </w:p>
        </w:tc>
      </w:tr>
      <w:tr w:rsidR="008E4BB8" w:rsidRPr="008E4BB8" w14:paraId="474807C8" w14:textId="77777777" w:rsidTr="008E4BB8">
        <w:trPr>
          <w:trHeight w:val="315"/>
        </w:trPr>
        <w:tc>
          <w:tcPr>
            <w:tcW w:w="4000" w:type="dxa"/>
            <w:hideMark/>
          </w:tcPr>
          <w:p w14:paraId="720265A9" w14:textId="77777777" w:rsidR="008E4BB8" w:rsidRPr="008E4BB8" w:rsidRDefault="008E4BB8">
            <w:pPr>
              <w:rPr>
                <w:rFonts w:ascii="Times New Roman" w:hAnsi="Times New Roman" w:cs="Times New Roman"/>
                <w:b/>
                <w:bCs/>
                <w:sz w:val="20"/>
                <w:szCs w:val="20"/>
              </w:rPr>
            </w:pPr>
            <w:proofErr w:type="spellStart"/>
            <w:r w:rsidRPr="008E4BB8">
              <w:rPr>
                <w:rFonts w:ascii="Times New Roman" w:hAnsi="Times New Roman" w:cs="Times New Roman"/>
                <w:b/>
                <w:bCs/>
                <w:sz w:val="20"/>
                <w:szCs w:val="20"/>
              </w:rPr>
              <w:t>wt_pct</w:t>
            </w:r>
            <w:proofErr w:type="spellEnd"/>
            <w:r w:rsidRPr="008E4BB8">
              <w:rPr>
                <w:rFonts w:ascii="Times New Roman" w:hAnsi="Times New Roman" w:cs="Times New Roman"/>
                <w:b/>
                <w:bCs/>
                <w:sz w:val="20"/>
                <w:szCs w:val="20"/>
              </w:rPr>
              <w:t xml:space="preserve"> </w:t>
            </w:r>
          </w:p>
        </w:tc>
        <w:tc>
          <w:tcPr>
            <w:tcW w:w="4420" w:type="dxa"/>
            <w:hideMark/>
          </w:tcPr>
          <w:p w14:paraId="6102E640" w14:textId="77777777" w:rsidR="008E4BB8" w:rsidRPr="00BB5942" w:rsidRDefault="008E4BB8" w:rsidP="00BB5942">
            <w:pPr>
              <w:rPr>
                <w:rFonts w:ascii="Times New Roman" w:hAnsi="Times New Roman" w:cs="Times New Roman"/>
                <w:sz w:val="20"/>
                <w:szCs w:val="20"/>
              </w:rPr>
            </w:pPr>
            <w:r w:rsidRPr="00BB5942">
              <w:rPr>
                <w:rFonts w:ascii="Times New Roman" w:hAnsi="Times New Roman" w:cs="Times New Roman"/>
                <w:sz w:val="20"/>
                <w:szCs w:val="20"/>
              </w:rPr>
              <w:t>Weight percent</w:t>
            </w:r>
          </w:p>
        </w:tc>
      </w:tr>
    </w:tbl>
    <w:p w14:paraId="1D73B722" w14:textId="315F5807" w:rsidR="008E4BB8" w:rsidRDefault="008E4BB8">
      <w:r>
        <w:fldChar w:fldCharType="end"/>
      </w:r>
    </w:p>
    <w:p w14:paraId="72EF0905" w14:textId="382835E6" w:rsidR="00BB5942" w:rsidRDefault="00BB5942">
      <w:r>
        <w:fldChar w:fldCharType="begin"/>
      </w:r>
      <w:r>
        <w:instrText xml:space="preserve"> LINK </w:instrText>
      </w:r>
      <w:r w:rsidR="00921B97">
        <w:instrText xml:space="preserve">Excel.Sheet.12 "\\\\PSNL.ca\\EM\\STJH\\Users2\\GregSparkes\\EpithermalProjectData\\OpenFileReleases\\NFLD_3512\\Table 3.xlsx" Sheet1!R1C1:R16C2 </w:instrText>
      </w:r>
      <w:r>
        <w:instrText xml:space="preserve">\a \f 5 \h  \* MERGEFORMAT </w:instrText>
      </w:r>
      <w:r>
        <w:fldChar w:fldCharType="separate"/>
      </w:r>
    </w:p>
    <w:tbl>
      <w:tblPr>
        <w:tblStyle w:val="TableGrid"/>
        <w:tblW w:w="8420" w:type="dxa"/>
        <w:tblLook w:val="04A0" w:firstRow="1" w:lastRow="0" w:firstColumn="1" w:lastColumn="0" w:noHBand="0" w:noVBand="1"/>
      </w:tblPr>
      <w:tblGrid>
        <w:gridCol w:w="4000"/>
        <w:gridCol w:w="4420"/>
      </w:tblGrid>
      <w:tr w:rsidR="00BB5942" w:rsidRPr="00BB5942" w14:paraId="4BFC8537" w14:textId="77777777" w:rsidTr="00BB5942">
        <w:trPr>
          <w:trHeight w:val="315"/>
        </w:trPr>
        <w:tc>
          <w:tcPr>
            <w:tcW w:w="8420" w:type="dxa"/>
            <w:gridSpan w:val="2"/>
            <w:hideMark/>
          </w:tcPr>
          <w:p w14:paraId="24758859" w14:textId="56ECFFA6"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 xml:space="preserve">List of </w:t>
            </w:r>
            <w:r w:rsidR="00350086" w:rsidRPr="00BB5942">
              <w:rPr>
                <w:rFonts w:ascii="Times New Roman" w:hAnsi="Times New Roman" w:cs="Times New Roman"/>
                <w:sz w:val="20"/>
                <w:szCs w:val="20"/>
              </w:rPr>
              <w:t>abbreviations</w:t>
            </w:r>
            <w:r w:rsidRPr="00BB5942">
              <w:rPr>
                <w:rFonts w:ascii="Times New Roman" w:hAnsi="Times New Roman" w:cs="Times New Roman"/>
                <w:sz w:val="20"/>
                <w:szCs w:val="20"/>
              </w:rPr>
              <w:t xml:space="preserve"> for CRM's </w:t>
            </w:r>
          </w:p>
        </w:tc>
      </w:tr>
      <w:tr w:rsidR="00BB5942" w:rsidRPr="00BB5942" w14:paraId="62D75128" w14:textId="77777777" w:rsidTr="00BB5942">
        <w:trPr>
          <w:trHeight w:val="315"/>
        </w:trPr>
        <w:tc>
          <w:tcPr>
            <w:tcW w:w="4000" w:type="dxa"/>
            <w:hideMark/>
          </w:tcPr>
          <w:p w14:paraId="318F6260"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Abbreviation</w:t>
            </w:r>
          </w:p>
        </w:tc>
        <w:tc>
          <w:tcPr>
            <w:tcW w:w="4420" w:type="dxa"/>
            <w:hideMark/>
          </w:tcPr>
          <w:p w14:paraId="64BDDD15"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Explanation</w:t>
            </w:r>
          </w:p>
        </w:tc>
      </w:tr>
      <w:tr w:rsidR="00BB5942" w:rsidRPr="00BB5942" w14:paraId="4E7BBD8A" w14:textId="77777777" w:rsidTr="00BB5942">
        <w:trPr>
          <w:trHeight w:val="315"/>
        </w:trPr>
        <w:tc>
          <w:tcPr>
            <w:tcW w:w="4000" w:type="dxa"/>
            <w:hideMark/>
          </w:tcPr>
          <w:p w14:paraId="79516643"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AGV-1</w:t>
            </w:r>
          </w:p>
        </w:tc>
        <w:tc>
          <w:tcPr>
            <w:tcW w:w="4420" w:type="dxa"/>
            <w:hideMark/>
          </w:tcPr>
          <w:p w14:paraId="42CD0669"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Andesite, Lake County, OR (</w:t>
            </w:r>
            <w:proofErr w:type="gramStart"/>
            <w:r w:rsidRPr="00BB5942">
              <w:rPr>
                <w:rFonts w:ascii="Times New Roman" w:hAnsi="Times New Roman" w:cs="Times New Roman"/>
                <w:sz w:val="20"/>
                <w:szCs w:val="20"/>
              </w:rPr>
              <w:t xml:space="preserve">USGS)   </w:t>
            </w:r>
            <w:proofErr w:type="gramEnd"/>
          </w:p>
        </w:tc>
      </w:tr>
      <w:tr w:rsidR="00BB5942" w:rsidRPr="00BB5942" w14:paraId="4CC5FE29" w14:textId="77777777" w:rsidTr="00BB5942">
        <w:trPr>
          <w:trHeight w:val="315"/>
        </w:trPr>
        <w:tc>
          <w:tcPr>
            <w:tcW w:w="4000" w:type="dxa"/>
            <w:hideMark/>
          </w:tcPr>
          <w:p w14:paraId="7C233756"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BHVO-1</w:t>
            </w:r>
          </w:p>
        </w:tc>
        <w:tc>
          <w:tcPr>
            <w:tcW w:w="4420" w:type="dxa"/>
            <w:hideMark/>
          </w:tcPr>
          <w:p w14:paraId="6E0EE722"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Basalt, Hawaii (</w:t>
            </w:r>
            <w:proofErr w:type="gramStart"/>
            <w:r w:rsidRPr="00BB5942">
              <w:rPr>
                <w:rFonts w:ascii="Times New Roman" w:hAnsi="Times New Roman" w:cs="Times New Roman"/>
                <w:sz w:val="20"/>
                <w:szCs w:val="20"/>
              </w:rPr>
              <w:t xml:space="preserve">USGS)   </w:t>
            </w:r>
            <w:proofErr w:type="gramEnd"/>
            <w:r w:rsidRPr="00BB5942">
              <w:rPr>
                <w:rFonts w:ascii="Times New Roman" w:hAnsi="Times New Roman" w:cs="Times New Roman"/>
                <w:sz w:val="20"/>
                <w:szCs w:val="20"/>
              </w:rPr>
              <w:t xml:space="preserve">  </w:t>
            </w:r>
          </w:p>
        </w:tc>
      </w:tr>
      <w:tr w:rsidR="00BB5942" w:rsidRPr="00BB5942" w14:paraId="1FAC18AB" w14:textId="77777777" w:rsidTr="00BB5942">
        <w:trPr>
          <w:trHeight w:val="315"/>
        </w:trPr>
        <w:tc>
          <w:tcPr>
            <w:tcW w:w="4000" w:type="dxa"/>
            <w:hideMark/>
          </w:tcPr>
          <w:p w14:paraId="62B439A4"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BIR-1</w:t>
            </w:r>
          </w:p>
        </w:tc>
        <w:tc>
          <w:tcPr>
            <w:tcW w:w="4420" w:type="dxa"/>
            <w:hideMark/>
          </w:tcPr>
          <w:p w14:paraId="3714451C"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Basalt, Iceland (</w:t>
            </w:r>
            <w:proofErr w:type="gramStart"/>
            <w:r w:rsidRPr="00BB5942">
              <w:rPr>
                <w:rFonts w:ascii="Times New Roman" w:hAnsi="Times New Roman" w:cs="Times New Roman"/>
                <w:sz w:val="20"/>
                <w:szCs w:val="20"/>
              </w:rPr>
              <w:t xml:space="preserve">USGS)   </w:t>
            </w:r>
            <w:proofErr w:type="gramEnd"/>
            <w:r w:rsidRPr="00BB5942">
              <w:rPr>
                <w:rFonts w:ascii="Times New Roman" w:hAnsi="Times New Roman" w:cs="Times New Roman"/>
                <w:sz w:val="20"/>
                <w:szCs w:val="20"/>
              </w:rPr>
              <w:t xml:space="preserve">  </w:t>
            </w:r>
          </w:p>
        </w:tc>
      </w:tr>
      <w:tr w:rsidR="00BB5942" w:rsidRPr="00BB5942" w14:paraId="3962F8E6" w14:textId="77777777" w:rsidTr="00BB5942">
        <w:trPr>
          <w:trHeight w:val="315"/>
        </w:trPr>
        <w:tc>
          <w:tcPr>
            <w:tcW w:w="4000" w:type="dxa"/>
            <w:hideMark/>
          </w:tcPr>
          <w:p w14:paraId="283B1544"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CH-2</w:t>
            </w:r>
          </w:p>
        </w:tc>
        <w:tc>
          <w:tcPr>
            <w:tcW w:w="4420" w:type="dxa"/>
            <w:noWrap/>
            <w:hideMark/>
          </w:tcPr>
          <w:p w14:paraId="7DAB8D91"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CCRMP CH-2 Gold Ore</w:t>
            </w:r>
          </w:p>
        </w:tc>
      </w:tr>
      <w:tr w:rsidR="00BB5942" w:rsidRPr="00BB5942" w14:paraId="0B9C985D" w14:textId="77777777" w:rsidTr="00BB5942">
        <w:trPr>
          <w:trHeight w:val="315"/>
        </w:trPr>
        <w:tc>
          <w:tcPr>
            <w:tcW w:w="4000" w:type="dxa"/>
            <w:hideMark/>
          </w:tcPr>
          <w:p w14:paraId="24F367E6"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G-2</w:t>
            </w:r>
          </w:p>
        </w:tc>
        <w:tc>
          <w:tcPr>
            <w:tcW w:w="4420" w:type="dxa"/>
            <w:hideMark/>
          </w:tcPr>
          <w:p w14:paraId="28E59BF4"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Granite, Bradford RI (</w:t>
            </w:r>
            <w:proofErr w:type="gramStart"/>
            <w:r w:rsidRPr="00BB5942">
              <w:rPr>
                <w:rFonts w:ascii="Times New Roman" w:hAnsi="Times New Roman" w:cs="Times New Roman"/>
                <w:sz w:val="20"/>
                <w:szCs w:val="20"/>
              </w:rPr>
              <w:t xml:space="preserve">USGS)   </w:t>
            </w:r>
            <w:proofErr w:type="gramEnd"/>
            <w:r w:rsidRPr="00BB5942">
              <w:rPr>
                <w:rFonts w:ascii="Times New Roman" w:hAnsi="Times New Roman" w:cs="Times New Roman"/>
                <w:sz w:val="20"/>
                <w:szCs w:val="20"/>
              </w:rPr>
              <w:t xml:space="preserve">  </w:t>
            </w:r>
          </w:p>
        </w:tc>
      </w:tr>
      <w:tr w:rsidR="00BB5942" w:rsidRPr="00BB5942" w14:paraId="73C37960" w14:textId="77777777" w:rsidTr="00BB5942">
        <w:trPr>
          <w:trHeight w:val="630"/>
        </w:trPr>
        <w:tc>
          <w:tcPr>
            <w:tcW w:w="4000" w:type="dxa"/>
            <w:hideMark/>
          </w:tcPr>
          <w:p w14:paraId="118DEE85"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MAG-1</w:t>
            </w:r>
          </w:p>
        </w:tc>
        <w:tc>
          <w:tcPr>
            <w:tcW w:w="4420" w:type="dxa"/>
            <w:hideMark/>
          </w:tcPr>
          <w:p w14:paraId="0D0429C7"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 xml:space="preserve">Gray-brown clayey mud, Gulf of Maine (USGS) </w:t>
            </w:r>
          </w:p>
        </w:tc>
      </w:tr>
      <w:tr w:rsidR="00BB5942" w:rsidRPr="00BB5942" w14:paraId="03EB30DD" w14:textId="77777777" w:rsidTr="00BB5942">
        <w:trPr>
          <w:trHeight w:val="315"/>
        </w:trPr>
        <w:tc>
          <w:tcPr>
            <w:tcW w:w="4000" w:type="dxa"/>
            <w:hideMark/>
          </w:tcPr>
          <w:p w14:paraId="2D146005"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MP-1a</w:t>
            </w:r>
          </w:p>
        </w:tc>
        <w:tc>
          <w:tcPr>
            <w:tcW w:w="4420" w:type="dxa"/>
            <w:hideMark/>
          </w:tcPr>
          <w:p w14:paraId="01B47B4F"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MP-1a ore</w:t>
            </w:r>
          </w:p>
        </w:tc>
      </w:tr>
      <w:tr w:rsidR="00BB5942" w:rsidRPr="00BB5942" w14:paraId="7FE2D754" w14:textId="77777777" w:rsidTr="00BB5942">
        <w:trPr>
          <w:trHeight w:val="315"/>
        </w:trPr>
        <w:tc>
          <w:tcPr>
            <w:tcW w:w="4000" w:type="dxa"/>
            <w:hideMark/>
          </w:tcPr>
          <w:p w14:paraId="70BE3360"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QLO-1</w:t>
            </w:r>
          </w:p>
        </w:tc>
        <w:tc>
          <w:tcPr>
            <w:tcW w:w="4420" w:type="dxa"/>
            <w:hideMark/>
          </w:tcPr>
          <w:p w14:paraId="4BC5D756"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Quartz Latite, Oregon (USGS)</w:t>
            </w:r>
          </w:p>
        </w:tc>
      </w:tr>
      <w:tr w:rsidR="00BB5942" w:rsidRPr="00BB5942" w14:paraId="02BFB9FD" w14:textId="77777777" w:rsidTr="00BB5942">
        <w:trPr>
          <w:trHeight w:val="315"/>
        </w:trPr>
        <w:tc>
          <w:tcPr>
            <w:tcW w:w="4000" w:type="dxa"/>
            <w:hideMark/>
          </w:tcPr>
          <w:p w14:paraId="3C6BB098"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RGM-1</w:t>
            </w:r>
          </w:p>
        </w:tc>
        <w:tc>
          <w:tcPr>
            <w:tcW w:w="4420" w:type="dxa"/>
            <w:hideMark/>
          </w:tcPr>
          <w:p w14:paraId="0A629376"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Rhyolite, California (USGS)</w:t>
            </w:r>
          </w:p>
        </w:tc>
      </w:tr>
      <w:tr w:rsidR="00BB5942" w:rsidRPr="00BB5942" w14:paraId="28A4C7C2" w14:textId="77777777" w:rsidTr="00BB5942">
        <w:trPr>
          <w:trHeight w:val="315"/>
        </w:trPr>
        <w:tc>
          <w:tcPr>
            <w:tcW w:w="4000" w:type="dxa"/>
            <w:hideMark/>
          </w:tcPr>
          <w:p w14:paraId="104EC128"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SDC-1</w:t>
            </w:r>
          </w:p>
        </w:tc>
        <w:tc>
          <w:tcPr>
            <w:tcW w:w="4420" w:type="dxa"/>
            <w:hideMark/>
          </w:tcPr>
          <w:p w14:paraId="3854CF63"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Mica Schist, Washington DC (USGS)</w:t>
            </w:r>
          </w:p>
        </w:tc>
      </w:tr>
      <w:tr w:rsidR="00BB5942" w:rsidRPr="00BB5942" w14:paraId="63C3806C" w14:textId="77777777" w:rsidTr="00BB5942">
        <w:trPr>
          <w:trHeight w:val="315"/>
        </w:trPr>
        <w:tc>
          <w:tcPr>
            <w:tcW w:w="4000" w:type="dxa"/>
            <w:hideMark/>
          </w:tcPr>
          <w:p w14:paraId="54901932"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STM-1</w:t>
            </w:r>
          </w:p>
        </w:tc>
        <w:tc>
          <w:tcPr>
            <w:tcW w:w="4420" w:type="dxa"/>
            <w:hideMark/>
          </w:tcPr>
          <w:p w14:paraId="37236416"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Peralkaline nepheline syenite, Oregon (</w:t>
            </w:r>
            <w:proofErr w:type="gramStart"/>
            <w:r w:rsidRPr="00BB5942">
              <w:rPr>
                <w:rFonts w:ascii="Times New Roman" w:hAnsi="Times New Roman" w:cs="Times New Roman"/>
                <w:sz w:val="20"/>
                <w:szCs w:val="20"/>
              </w:rPr>
              <w:t xml:space="preserve">USGS)   </w:t>
            </w:r>
            <w:proofErr w:type="gramEnd"/>
            <w:r w:rsidRPr="00BB5942">
              <w:rPr>
                <w:rFonts w:ascii="Times New Roman" w:hAnsi="Times New Roman" w:cs="Times New Roman"/>
                <w:sz w:val="20"/>
                <w:szCs w:val="20"/>
              </w:rPr>
              <w:t xml:space="preserve">  </w:t>
            </w:r>
          </w:p>
        </w:tc>
      </w:tr>
      <w:tr w:rsidR="00BB5942" w:rsidRPr="00BB5942" w14:paraId="08F7969C" w14:textId="77777777" w:rsidTr="00BB5942">
        <w:trPr>
          <w:trHeight w:val="630"/>
        </w:trPr>
        <w:tc>
          <w:tcPr>
            <w:tcW w:w="4000" w:type="dxa"/>
            <w:hideMark/>
          </w:tcPr>
          <w:p w14:paraId="5E22A6AB"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SY-4</w:t>
            </w:r>
          </w:p>
        </w:tc>
        <w:tc>
          <w:tcPr>
            <w:tcW w:w="4420" w:type="dxa"/>
            <w:hideMark/>
          </w:tcPr>
          <w:p w14:paraId="7260DC7D"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 xml:space="preserve">Diorite gneiss, </w:t>
            </w:r>
            <w:proofErr w:type="spellStart"/>
            <w:r w:rsidRPr="00BB5942">
              <w:rPr>
                <w:rFonts w:ascii="Times New Roman" w:hAnsi="Times New Roman" w:cs="Times New Roman"/>
                <w:sz w:val="20"/>
                <w:szCs w:val="20"/>
              </w:rPr>
              <w:t>Brudendell</w:t>
            </w:r>
            <w:proofErr w:type="spellEnd"/>
            <w:r w:rsidRPr="00BB5942">
              <w:rPr>
                <w:rFonts w:ascii="Times New Roman" w:hAnsi="Times New Roman" w:cs="Times New Roman"/>
                <w:sz w:val="20"/>
                <w:szCs w:val="20"/>
              </w:rPr>
              <w:t xml:space="preserve"> Township ON (NRCAN) </w:t>
            </w:r>
          </w:p>
        </w:tc>
      </w:tr>
      <w:tr w:rsidR="00BB5942" w:rsidRPr="00BB5942" w14:paraId="13B20BA4" w14:textId="77777777" w:rsidTr="00BB5942">
        <w:trPr>
          <w:trHeight w:val="630"/>
        </w:trPr>
        <w:tc>
          <w:tcPr>
            <w:tcW w:w="4000" w:type="dxa"/>
            <w:hideMark/>
          </w:tcPr>
          <w:p w14:paraId="1D598111"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SY-5</w:t>
            </w:r>
          </w:p>
        </w:tc>
        <w:tc>
          <w:tcPr>
            <w:tcW w:w="4420" w:type="dxa"/>
            <w:hideMark/>
          </w:tcPr>
          <w:p w14:paraId="0DB92AF7"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 xml:space="preserve">Syenite, Township of </w:t>
            </w:r>
            <w:proofErr w:type="spellStart"/>
            <w:r w:rsidRPr="00BB5942">
              <w:rPr>
                <w:rFonts w:ascii="Times New Roman" w:hAnsi="Times New Roman" w:cs="Times New Roman"/>
                <w:sz w:val="20"/>
                <w:szCs w:val="20"/>
              </w:rPr>
              <w:t>Admaston</w:t>
            </w:r>
            <w:proofErr w:type="spellEnd"/>
            <w:r w:rsidRPr="00BB5942">
              <w:rPr>
                <w:rFonts w:ascii="Times New Roman" w:hAnsi="Times New Roman" w:cs="Times New Roman"/>
                <w:sz w:val="20"/>
                <w:szCs w:val="20"/>
              </w:rPr>
              <w:t>/Bromley, ON (NRCAN).</w:t>
            </w:r>
          </w:p>
        </w:tc>
      </w:tr>
      <w:tr w:rsidR="00BB5942" w:rsidRPr="00BB5942" w14:paraId="515C9384" w14:textId="77777777" w:rsidTr="00BB5942">
        <w:trPr>
          <w:trHeight w:val="630"/>
        </w:trPr>
        <w:tc>
          <w:tcPr>
            <w:tcW w:w="4000" w:type="dxa"/>
            <w:hideMark/>
          </w:tcPr>
          <w:p w14:paraId="3075581D" w14:textId="77777777" w:rsidR="00BB5942" w:rsidRPr="00BB5942" w:rsidRDefault="00BB5942" w:rsidP="00BB5942">
            <w:pPr>
              <w:rPr>
                <w:rFonts w:ascii="Times New Roman" w:hAnsi="Times New Roman" w:cs="Times New Roman"/>
                <w:b/>
                <w:bCs/>
                <w:sz w:val="20"/>
                <w:szCs w:val="20"/>
              </w:rPr>
            </w:pPr>
            <w:r w:rsidRPr="00BB5942">
              <w:rPr>
                <w:rFonts w:ascii="Times New Roman" w:hAnsi="Times New Roman" w:cs="Times New Roman"/>
                <w:b/>
                <w:bCs/>
                <w:sz w:val="20"/>
                <w:szCs w:val="20"/>
              </w:rPr>
              <w:t>WGB-1</w:t>
            </w:r>
          </w:p>
        </w:tc>
        <w:tc>
          <w:tcPr>
            <w:tcW w:w="4420" w:type="dxa"/>
            <w:hideMark/>
          </w:tcPr>
          <w:p w14:paraId="20C21998" w14:textId="77777777" w:rsidR="00BB5942" w:rsidRPr="00BB5942" w:rsidRDefault="00BB5942" w:rsidP="00BB5942">
            <w:pPr>
              <w:rPr>
                <w:rFonts w:ascii="Times New Roman" w:hAnsi="Times New Roman" w:cs="Times New Roman"/>
                <w:sz w:val="20"/>
                <w:szCs w:val="20"/>
              </w:rPr>
            </w:pPr>
            <w:r w:rsidRPr="00BB5942">
              <w:rPr>
                <w:rFonts w:ascii="Times New Roman" w:hAnsi="Times New Roman" w:cs="Times New Roman"/>
                <w:sz w:val="20"/>
                <w:szCs w:val="20"/>
              </w:rPr>
              <w:t xml:space="preserve">WGB-1: Gabbro, </w:t>
            </w:r>
            <w:proofErr w:type="spellStart"/>
            <w:r w:rsidRPr="00BB5942">
              <w:rPr>
                <w:rFonts w:ascii="Times New Roman" w:hAnsi="Times New Roman" w:cs="Times New Roman"/>
                <w:sz w:val="20"/>
                <w:szCs w:val="20"/>
              </w:rPr>
              <w:t>Wellgreen</w:t>
            </w:r>
            <w:proofErr w:type="spellEnd"/>
            <w:r w:rsidRPr="00BB5942">
              <w:rPr>
                <w:rFonts w:ascii="Times New Roman" w:hAnsi="Times New Roman" w:cs="Times New Roman"/>
                <w:sz w:val="20"/>
                <w:szCs w:val="20"/>
              </w:rPr>
              <w:t xml:space="preserve"> Complex YT (NRCAN)</w:t>
            </w:r>
          </w:p>
        </w:tc>
      </w:tr>
    </w:tbl>
    <w:p w14:paraId="2D267F03" w14:textId="67940ABD" w:rsidR="00BB5942" w:rsidRDefault="00BB5942">
      <w:r>
        <w:fldChar w:fldCharType="end"/>
      </w:r>
    </w:p>
    <w:p w14:paraId="469593B7" w14:textId="53B0A49E" w:rsidR="00BB5942" w:rsidRDefault="00BB5942">
      <w:r w:rsidRPr="00BB5942">
        <w:rPr>
          <w:noProof/>
        </w:rPr>
        <w:drawing>
          <wp:inline distT="0" distB="0" distL="0" distR="0" wp14:anchorId="09E3BC9A" wp14:editId="3A2747D7">
            <wp:extent cx="5943600" cy="3587115"/>
            <wp:effectExtent l="0" t="0" r="0" b="0"/>
            <wp:docPr id="6778603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587115"/>
                    </a:xfrm>
                    <a:prstGeom prst="rect">
                      <a:avLst/>
                    </a:prstGeom>
                    <a:noFill/>
                    <a:ln>
                      <a:noFill/>
                    </a:ln>
                  </pic:spPr>
                </pic:pic>
              </a:graphicData>
            </a:graphic>
          </wp:inline>
        </w:drawing>
      </w:r>
    </w:p>
    <w:p w14:paraId="08A67C34" w14:textId="3E699EDF" w:rsidR="00BB5942" w:rsidRDefault="00BB5942">
      <w:r>
        <w:fldChar w:fldCharType="begin"/>
      </w:r>
      <w:r>
        <w:instrText xml:space="preserve"> LINK </w:instrText>
      </w:r>
      <w:r w:rsidR="00921B97">
        <w:instrText xml:space="preserve">Excel.Sheet.12 "\\\\PSNL.ca\\EM\\STJH\\Users2\\GregSparkes\\EpithermalProjectData\\OpenFileReleases\\NFLD_3512\\Table 4.xlsx" Sheet1!R1C1:R36C2 </w:instrText>
      </w:r>
      <w:r>
        <w:instrText xml:space="preserve">\a \f 5 \h  \* MERGEFORMAT </w:instrText>
      </w:r>
      <w:r>
        <w:fldChar w:fldCharType="separate"/>
      </w:r>
    </w:p>
    <w:p w14:paraId="7BBC55F0" w14:textId="511A5AE0" w:rsidR="00BB5942" w:rsidRDefault="00BB5942">
      <w:r>
        <w:fldChar w:fldCharType="end"/>
      </w:r>
    </w:p>
    <w:sectPr w:rsidR="00BB59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C"/>
    <w:rsid w:val="00017792"/>
    <w:rsid w:val="000B583E"/>
    <w:rsid w:val="0011040F"/>
    <w:rsid w:val="00155588"/>
    <w:rsid w:val="00155EF4"/>
    <w:rsid w:val="00176B29"/>
    <w:rsid w:val="00176D54"/>
    <w:rsid w:val="001F59F5"/>
    <w:rsid w:val="002D497E"/>
    <w:rsid w:val="002F296E"/>
    <w:rsid w:val="003041E6"/>
    <w:rsid w:val="00350086"/>
    <w:rsid w:val="00383224"/>
    <w:rsid w:val="003864AA"/>
    <w:rsid w:val="003A6857"/>
    <w:rsid w:val="003F06D9"/>
    <w:rsid w:val="00486946"/>
    <w:rsid w:val="004C5522"/>
    <w:rsid w:val="0051321C"/>
    <w:rsid w:val="00550B85"/>
    <w:rsid w:val="00565B39"/>
    <w:rsid w:val="0056777E"/>
    <w:rsid w:val="00587C5E"/>
    <w:rsid w:val="005B12FB"/>
    <w:rsid w:val="005D3D04"/>
    <w:rsid w:val="006151F9"/>
    <w:rsid w:val="00665278"/>
    <w:rsid w:val="006A5A58"/>
    <w:rsid w:val="006B07F0"/>
    <w:rsid w:val="006D5404"/>
    <w:rsid w:val="006E15D6"/>
    <w:rsid w:val="00710D14"/>
    <w:rsid w:val="0073519B"/>
    <w:rsid w:val="008E4BB8"/>
    <w:rsid w:val="00921B97"/>
    <w:rsid w:val="00951DE9"/>
    <w:rsid w:val="00983D35"/>
    <w:rsid w:val="00A10365"/>
    <w:rsid w:val="00A24056"/>
    <w:rsid w:val="00A371CE"/>
    <w:rsid w:val="00AD3F27"/>
    <w:rsid w:val="00AD60F9"/>
    <w:rsid w:val="00B5150B"/>
    <w:rsid w:val="00B67EBA"/>
    <w:rsid w:val="00BB5942"/>
    <w:rsid w:val="00C204C8"/>
    <w:rsid w:val="00C535C7"/>
    <w:rsid w:val="00C71989"/>
    <w:rsid w:val="00CF7D09"/>
    <w:rsid w:val="00D75AAE"/>
    <w:rsid w:val="00E2701E"/>
    <w:rsid w:val="00EF76AE"/>
    <w:rsid w:val="00F33F42"/>
    <w:rsid w:val="00F74AB8"/>
    <w:rsid w:val="00FD4A41"/>
    <w:rsid w:val="00FF6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A5185"/>
  <w15:chartTrackingRefBased/>
  <w15:docId w15:val="{AD82C532-9D53-4A8F-9555-E580BD423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32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2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2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2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2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2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2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2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2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2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2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2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2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2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2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2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21C"/>
    <w:rPr>
      <w:rFonts w:eastAsiaTheme="majorEastAsia" w:cstheme="majorBidi"/>
      <w:color w:val="272727" w:themeColor="text1" w:themeTint="D8"/>
    </w:rPr>
  </w:style>
  <w:style w:type="paragraph" w:styleId="Title">
    <w:name w:val="Title"/>
    <w:basedOn w:val="Normal"/>
    <w:next w:val="Normal"/>
    <w:link w:val="TitleChar"/>
    <w:uiPriority w:val="10"/>
    <w:qFormat/>
    <w:rsid w:val="005132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2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2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2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21C"/>
    <w:pPr>
      <w:spacing w:before="160"/>
      <w:jc w:val="center"/>
    </w:pPr>
    <w:rPr>
      <w:i/>
      <w:iCs/>
      <w:color w:val="404040" w:themeColor="text1" w:themeTint="BF"/>
    </w:rPr>
  </w:style>
  <w:style w:type="character" w:customStyle="1" w:styleId="QuoteChar">
    <w:name w:val="Quote Char"/>
    <w:basedOn w:val="DefaultParagraphFont"/>
    <w:link w:val="Quote"/>
    <w:uiPriority w:val="29"/>
    <w:rsid w:val="0051321C"/>
    <w:rPr>
      <w:i/>
      <w:iCs/>
      <w:color w:val="404040" w:themeColor="text1" w:themeTint="BF"/>
    </w:rPr>
  </w:style>
  <w:style w:type="paragraph" w:styleId="ListParagraph">
    <w:name w:val="List Paragraph"/>
    <w:basedOn w:val="Normal"/>
    <w:uiPriority w:val="34"/>
    <w:qFormat/>
    <w:rsid w:val="0051321C"/>
    <w:pPr>
      <w:ind w:left="720"/>
      <w:contextualSpacing/>
    </w:pPr>
  </w:style>
  <w:style w:type="character" w:styleId="IntenseEmphasis">
    <w:name w:val="Intense Emphasis"/>
    <w:basedOn w:val="DefaultParagraphFont"/>
    <w:uiPriority w:val="21"/>
    <w:qFormat/>
    <w:rsid w:val="0051321C"/>
    <w:rPr>
      <w:i/>
      <w:iCs/>
      <w:color w:val="0F4761" w:themeColor="accent1" w:themeShade="BF"/>
    </w:rPr>
  </w:style>
  <w:style w:type="paragraph" w:styleId="IntenseQuote">
    <w:name w:val="Intense Quote"/>
    <w:basedOn w:val="Normal"/>
    <w:next w:val="Normal"/>
    <w:link w:val="IntenseQuoteChar"/>
    <w:uiPriority w:val="30"/>
    <w:qFormat/>
    <w:rsid w:val="005132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21C"/>
    <w:rPr>
      <w:i/>
      <w:iCs/>
      <w:color w:val="0F4761" w:themeColor="accent1" w:themeShade="BF"/>
    </w:rPr>
  </w:style>
  <w:style w:type="character" w:styleId="IntenseReference">
    <w:name w:val="Intense Reference"/>
    <w:basedOn w:val="DefaultParagraphFont"/>
    <w:uiPriority w:val="32"/>
    <w:qFormat/>
    <w:rsid w:val="0051321C"/>
    <w:rPr>
      <w:b/>
      <w:bCs/>
      <w:smallCaps/>
      <w:color w:val="0F4761" w:themeColor="accent1" w:themeShade="BF"/>
      <w:spacing w:val="5"/>
    </w:rPr>
  </w:style>
  <w:style w:type="table" w:styleId="TableGrid">
    <w:name w:val="Table Grid"/>
    <w:basedOn w:val="TableNormal"/>
    <w:uiPriority w:val="39"/>
    <w:rsid w:val="008E4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TotalTime>
  <Pages>4</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Government of NL</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Sparkes, Greg</dc:creator>
  <cp:keywords/>
  <dc:description/>
  <cp:lastModifiedBy>Sparkes, Greg</cp:lastModifiedBy>
  <cp:revision>19</cp:revision>
  <dcterms:created xsi:type="dcterms:W3CDTF">2025-10-02T13:59:00Z</dcterms:created>
  <dcterms:modified xsi:type="dcterms:W3CDTF">2026-05-21T18:29:00Z</dcterms:modified>
</cp:coreProperties>
</file>