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69FE2" w14:textId="2381633A" w:rsidR="00E42C97" w:rsidRPr="000A3B2C" w:rsidRDefault="00E42C97" w:rsidP="004C26F9">
      <w:pPr>
        <w:spacing w:after="0" w:line="240" w:lineRule="auto"/>
        <w:jc w:val="center"/>
        <w:rPr>
          <w:rFonts w:ascii="Arial" w:hAnsi="Arial" w:cs="Arial"/>
          <w:b/>
          <w:sz w:val="26"/>
          <w:szCs w:val="26"/>
        </w:rPr>
      </w:pPr>
      <w:r>
        <w:rPr>
          <w:rFonts w:ascii="Arial" w:hAnsi="Arial"/>
          <w:b/>
          <w:sz w:val="26"/>
        </w:rPr>
        <w:t>Fonds communautaire pour la prévention de la toxicomanie et la promotion de la santé mentale — Document d’orientation</w:t>
      </w:r>
    </w:p>
    <w:p w14:paraId="40EE71CF" w14:textId="38C3CE76" w:rsidR="005F35F7" w:rsidRDefault="005F35F7" w:rsidP="004C26F9">
      <w:pPr>
        <w:widowControl w:val="0"/>
        <w:autoSpaceDE w:val="0"/>
        <w:autoSpaceDN w:val="0"/>
        <w:adjustRightInd w:val="0"/>
        <w:spacing w:after="0" w:line="240" w:lineRule="auto"/>
        <w:contextualSpacing/>
        <w:rPr>
          <w:rStyle w:val="Hyperlink"/>
          <w:rFonts w:ascii="Arial" w:hAnsi="Arial" w:cs="Arial"/>
          <w:b/>
          <w:sz w:val="24"/>
          <w:szCs w:val="24"/>
        </w:rPr>
      </w:pPr>
    </w:p>
    <w:p w14:paraId="171D6051" w14:textId="77777777" w:rsidR="00D677D9" w:rsidRPr="00D677D9" w:rsidRDefault="00D677D9" w:rsidP="004C26F9">
      <w:pPr>
        <w:spacing w:after="0" w:line="240" w:lineRule="auto"/>
        <w:jc w:val="both"/>
        <w:rPr>
          <w:rFonts w:ascii="Arial" w:hAnsi="Arial" w:cs="Arial"/>
          <w:b/>
          <w:sz w:val="24"/>
          <w:szCs w:val="24"/>
          <w:u w:val="single"/>
        </w:rPr>
      </w:pPr>
    </w:p>
    <w:p w14:paraId="5CD5432A" w14:textId="77777777" w:rsidR="00E42C97" w:rsidRPr="007E068A" w:rsidRDefault="00E42C97" w:rsidP="004C26F9">
      <w:pPr>
        <w:spacing w:after="0" w:line="240" w:lineRule="auto"/>
        <w:jc w:val="both"/>
        <w:rPr>
          <w:rFonts w:ascii="Arial" w:hAnsi="Arial" w:cs="Arial"/>
          <w:b/>
          <w:bCs/>
          <w:sz w:val="24"/>
          <w:szCs w:val="24"/>
          <w:u w:val="single"/>
        </w:rPr>
      </w:pPr>
      <w:r>
        <w:rPr>
          <w:rFonts w:ascii="Arial" w:hAnsi="Arial"/>
          <w:b/>
          <w:sz w:val="24"/>
          <w:u w:val="single"/>
        </w:rPr>
        <w:t>Contexte</w:t>
      </w:r>
    </w:p>
    <w:p w14:paraId="20D4AB5C" w14:textId="77777777" w:rsidR="005A2254" w:rsidRDefault="005A2254" w:rsidP="004C26F9">
      <w:pPr>
        <w:spacing w:after="0" w:line="240" w:lineRule="auto"/>
        <w:jc w:val="both"/>
        <w:rPr>
          <w:rFonts w:ascii="Arial" w:hAnsi="Arial" w:cs="Arial"/>
          <w:sz w:val="24"/>
          <w:szCs w:val="24"/>
          <w:u w:val="single"/>
        </w:rPr>
      </w:pPr>
    </w:p>
    <w:p w14:paraId="2979B4F7" w14:textId="40072D56" w:rsidR="00215C42" w:rsidRDefault="00215C42" w:rsidP="004C26F9">
      <w:pPr>
        <w:spacing w:after="0" w:line="240" w:lineRule="auto"/>
        <w:rPr>
          <w:rFonts w:ascii="Arial" w:hAnsi="Arial" w:cs="Arial"/>
          <w:sz w:val="24"/>
          <w:szCs w:val="24"/>
        </w:rPr>
      </w:pPr>
      <w:r>
        <w:rPr>
          <w:rFonts w:ascii="Arial" w:hAnsi="Arial"/>
          <w:sz w:val="24"/>
        </w:rPr>
        <w:t xml:space="preserve">Créé par le ministère de la Santé et des Services communautaires en 2005, le programme annuel de subventions du Fonds communautaire pour la prévention de la toxicomanie et la promotion de la santé mentale offre un soutien financier aux personnes, aux groupes communautaires, aux écoles autochtones et </w:t>
      </w:r>
      <w:r w:rsidR="002E45E1">
        <w:rPr>
          <w:rFonts w:ascii="Arial" w:hAnsi="Arial"/>
          <w:sz w:val="24"/>
        </w:rPr>
        <w:t xml:space="preserve">aux </w:t>
      </w:r>
      <w:r>
        <w:rPr>
          <w:rFonts w:ascii="Arial" w:hAnsi="Arial"/>
          <w:sz w:val="24"/>
        </w:rPr>
        <w:t xml:space="preserve">organismes </w:t>
      </w:r>
      <w:r w:rsidR="002E45E1">
        <w:rPr>
          <w:rFonts w:ascii="Arial" w:hAnsi="Arial"/>
          <w:sz w:val="24"/>
        </w:rPr>
        <w:br/>
      </w:r>
      <w:r>
        <w:rPr>
          <w:rFonts w:ascii="Arial" w:hAnsi="Arial"/>
          <w:sz w:val="24"/>
        </w:rPr>
        <w:t xml:space="preserve">à but non lucratif qui souhaitent sensibiliser les gens à la santé mentale, à la consommation de substances et à la toxicomanie à Terre-Neuve-et-Labrador. </w:t>
      </w:r>
    </w:p>
    <w:p w14:paraId="0ABF41B0" w14:textId="77777777" w:rsidR="00215C42" w:rsidRDefault="00215C42" w:rsidP="004C26F9">
      <w:pPr>
        <w:spacing w:after="0" w:line="240" w:lineRule="auto"/>
        <w:rPr>
          <w:rFonts w:ascii="Arial" w:hAnsi="Arial" w:cs="Arial"/>
          <w:sz w:val="24"/>
          <w:szCs w:val="24"/>
        </w:rPr>
      </w:pPr>
    </w:p>
    <w:p w14:paraId="7C7E9C9D" w14:textId="57D1F318" w:rsidR="00E42C97" w:rsidRPr="00ED2ABB" w:rsidRDefault="00215C42" w:rsidP="00533256">
      <w:pPr>
        <w:spacing w:after="0" w:line="240" w:lineRule="auto"/>
        <w:jc w:val="both"/>
        <w:rPr>
          <w:rFonts w:ascii="Arial" w:hAnsi="Arial" w:cs="Arial"/>
          <w:sz w:val="24"/>
          <w:szCs w:val="24"/>
        </w:rPr>
      </w:pPr>
      <w:r>
        <w:rPr>
          <w:rFonts w:ascii="Arial" w:hAnsi="Arial"/>
          <w:sz w:val="24"/>
        </w:rPr>
        <w:t xml:space="preserve">Cette initiative de financement est administrée en partenariat avec les </w:t>
      </w:r>
      <w:r w:rsidR="00E45FE7">
        <w:rPr>
          <w:rFonts w:ascii="Arial" w:hAnsi="Arial"/>
          <w:sz w:val="24"/>
        </w:rPr>
        <w:t>S</w:t>
      </w:r>
      <w:r>
        <w:rPr>
          <w:rFonts w:ascii="Arial" w:hAnsi="Arial"/>
          <w:sz w:val="24"/>
        </w:rPr>
        <w:t>anté</w:t>
      </w:r>
      <w:r w:rsidR="00E45FE7">
        <w:rPr>
          <w:rFonts w:ascii="Arial" w:hAnsi="Arial"/>
          <w:sz w:val="24"/>
        </w:rPr>
        <w:t xml:space="preserve"> </w:t>
      </w:r>
      <w:r>
        <w:rPr>
          <w:rFonts w:ascii="Arial" w:hAnsi="Arial"/>
          <w:sz w:val="24"/>
        </w:rPr>
        <w:t xml:space="preserve">Terre-Neuve-et-Labrador avec l’objectif de réaliser les mesures établies dans le </w:t>
      </w:r>
      <w:hyperlink r:id="rId7" w:history="1">
        <w:r>
          <w:rPr>
            <w:rStyle w:val="Hyperlink"/>
            <w:rFonts w:ascii="Arial" w:hAnsi="Arial"/>
            <w:sz w:val="24"/>
          </w:rPr>
          <w:t>plan d’action provincial contre l’alcoolisme</w:t>
        </w:r>
      </w:hyperlink>
      <w:r w:rsidRPr="00BA7233">
        <w:rPr>
          <w:rStyle w:val="Hyperlink"/>
          <w:rFonts w:ascii="Arial" w:hAnsi="Arial"/>
          <w:sz w:val="24"/>
          <w:u w:val="none"/>
        </w:rPr>
        <w:t xml:space="preserve"> </w:t>
      </w:r>
      <w:r w:rsidR="00BA7233">
        <w:rPr>
          <w:rFonts w:ascii="Arial" w:hAnsi="Arial"/>
          <w:sz w:val="24"/>
        </w:rPr>
        <w:t xml:space="preserve">(en anglais seulement) </w:t>
      </w:r>
      <w:r>
        <w:rPr>
          <w:rFonts w:ascii="Arial" w:hAnsi="Arial"/>
          <w:sz w:val="24"/>
        </w:rPr>
        <w:t xml:space="preserve">et </w:t>
      </w:r>
      <w:hyperlink r:id="rId8" w:history="1">
        <w:r>
          <w:rPr>
            <w:rStyle w:val="Hyperlink"/>
            <w:rFonts w:ascii="Arial" w:hAnsi="Arial"/>
            <w:sz w:val="24"/>
          </w:rPr>
          <w:t>Notre voie vers la résilience — un plan d’action pour promouvoir la vie et prévenir le suicide</w:t>
        </w:r>
      </w:hyperlink>
      <w:r w:rsidR="00BA7233">
        <w:rPr>
          <w:rFonts w:ascii="Arial" w:hAnsi="Arial"/>
          <w:sz w:val="24"/>
        </w:rPr>
        <w:t xml:space="preserve"> (en anglais seulement),</w:t>
      </w:r>
      <w:r>
        <w:rPr>
          <w:rFonts w:ascii="Arial" w:hAnsi="Arial"/>
          <w:sz w:val="24"/>
        </w:rPr>
        <w:t xml:space="preserve"> </w:t>
      </w:r>
      <w:r w:rsidR="00B15BD3">
        <w:rPr>
          <w:rFonts w:ascii="Arial" w:hAnsi="Arial"/>
          <w:sz w:val="24"/>
        </w:rPr>
        <w:t xml:space="preserve">deux initiatives </w:t>
      </w:r>
      <w:r>
        <w:rPr>
          <w:rFonts w:ascii="Arial" w:hAnsi="Arial"/>
          <w:sz w:val="24"/>
        </w:rPr>
        <w:t xml:space="preserve">visant à réduire les méfaits et les coûts liés à la consommation d’alcool, </w:t>
      </w:r>
      <w:r w:rsidR="00B15BD3">
        <w:rPr>
          <w:rFonts w:ascii="Arial" w:hAnsi="Arial"/>
          <w:sz w:val="24"/>
        </w:rPr>
        <w:t xml:space="preserve">ainsi qu’à </w:t>
      </w:r>
      <w:r>
        <w:rPr>
          <w:rFonts w:ascii="Arial" w:hAnsi="Arial"/>
          <w:sz w:val="24"/>
        </w:rPr>
        <w:t xml:space="preserve">promouvoir la vie et prévenir le suicide. </w:t>
      </w:r>
    </w:p>
    <w:p w14:paraId="0FFE97CD" w14:textId="77777777" w:rsidR="0012473C" w:rsidRDefault="0012473C" w:rsidP="004C26F9">
      <w:pPr>
        <w:spacing w:after="0" w:line="240" w:lineRule="auto"/>
        <w:jc w:val="both"/>
        <w:rPr>
          <w:rFonts w:ascii="Arial" w:hAnsi="Arial" w:cs="Arial"/>
          <w:sz w:val="24"/>
          <w:szCs w:val="24"/>
          <w:u w:val="single"/>
        </w:rPr>
      </w:pPr>
    </w:p>
    <w:p w14:paraId="239EE615" w14:textId="62EA5873" w:rsidR="00651B7F" w:rsidRPr="00651B7F" w:rsidRDefault="00651B7F" w:rsidP="004C26F9">
      <w:pPr>
        <w:spacing w:after="0" w:line="240" w:lineRule="auto"/>
        <w:contextualSpacing/>
        <w:jc w:val="both"/>
        <w:outlineLvl w:val="0"/>
        <w:rPr>
          <w:rFonts w:ascii="Arial" w:hAnsi="Arial" w:cs="Arial"/>
          <w:b/>
          <w:sz w:val="24"/>
          <w:szCs w:val="24"/>
          <w:u w:val="single"/>
        </w:rPr>
      </w:pPr>
      <w:r>
        <w:rPr>
          <w:rFonts w:ascii="Arial" w:hAnsi="Arial"/>
          <w:b/>
          <w:sz w:val="24"/>
          <w:u w:val="single"/>
        </w:rPr>
        <w:t>Secteurs prioritaires</w:t>
      </w:r>
    </w:p>
    <w:p w14:paraId="0DFCAAC4" w14:textId="77777777" w:rsidR="00B22CBA" w:rsidRDefault="00B22CBA" w:rsidP="004C26F9">
      <w:pPr>
        <w:spacing w:after="0" w:line="240" w:lineRule="auto"/>
        <w:contextualSpacing/>
        <w:jc w:val="both"/>
        <w:outlineLvl w:val="0"/>
        <w:rPr>
          <w:rFonts w:ascii="Arial" w:hAnsi="Arial" w:cs="Arial"/>
          <w:sz w:val="24"/>
          <w:szCs w:val="24"/>
        </w:rPr>
      </w:pPr>
    </w:p>
    <w:p w14:paraId="6087DB15" w14:textId="7BC20C61" w:rsidR="009152E3" w:rsidRPr="009152E3" w:rsidRDefault="009152E3" w:rsidP="004C26F9">
      <w:pPr>
        <w:spacing w:after="0" w:line="240" w:lineRule="auto"/>
        <w:contextualSpacing/>
        <w:jc w:val="both"/>
        <w:outlineLvl w:val="0"/>
        <w:rPr>
          <w:rFonts w:ascii="Arial" w:hAnsi="Arial" w:cs="Arial"/>
          <w:b/>
          <w:sz w:val="24"/>
          <w:szCs w:val="24"/>
        </w:rPr>
      </w:pPr>
      <w:r>
        <w:rPr>
          <w:rFonts w:ascii="Arial" w:hAnsi="Arial"/>
          <w:sz w:val="24"/>
        </w:rPr>
        <w:t xml:space="preserve">Pour être admissibles à une subvention </w:t>
      </w:r>
      <w:r>
        <w:rPr>
          <w:rFonts w:ascii="Arial" w:hAnsi="Arial"/>
          <w:b/>
          <w:sz w:val="24"/>
        </w:rPr>
        <w:t>maximale de 10 000 $</w:t>
      </w:r>
      <w:r>
        <w:rPr>
          <w:rFonts w:ascii="Arial" w:hAnsi="Arial"/>
          <w:sz w:val="24"/>
        </w:rPr>
        <w:t xml:space="preserve"> pour l’exercice 202</w:t>
      </w:r>
      <w:r w:rsidR="009E240C">
        <w:rPr>
          <w:rFonts w:ascii="Arial" w:hAnsi="Arial"/>
          <w:sz w:val="24"/>
        </w:rPr>
        <w:t>5</w:t>
      </w:r>
      <w:r>
        <w:rPr>
          <w:rFonts w:ascii="Arial" w:hAnsi="Arial"/>
          <w:sz w:val="24"/>
        </w:rPr>
        <w:t>-202</w:t>
      </w:r>
      <w:r w:rsidR="009E240C">
        <w:rPr>
          <w:rFonts w:ascii="Arial" w:hAnsi="Arial"/>
          <w:sz w:val="24"/>
        </w:rPr>
        <w:t>6</w:t>
      </w:r>
      <w:r>
        <w:rPr>
          <w:rFonts w:ascii="Arial" w:hAnsi="Arial"/>
          <w:sz w:val="24"/>
        </w:rPr>
        <w:t xml:space="preserve">, les demandes doivent s’inscrire dans </w:t>
      </w:r>
      <w:r>
        <w:rPr>
          <w:rFonts w:ascii="Arial" w:hAnsi="Arial"/>
          <w:b/>
          <w:sz w:val="24"/>
        </w:rPr>
        <w:t>au moins un</w:t>
      </w:r>
      <w:r>
        <w:rPr>
          <w:rFonts w:ascii="Arial" w:hAnsi="Arial"/>
          <w:sz w:val="24"/>
        </w:rPr>
        <w:t xml:space="preserve"> des </w:t>
      </w:r>
      <w:r>
        <w:rPr>
          <w:rFonts w:ascii="Arial" w:hAnsi="Arial"/>
          <w:b/>
          <w:sz w:val="24"/>
        </w:rPr>
        <w:t>secteurs prioritaires</w:t>
      </w:r>
      <w:r>
        <w:rPr>
          <w:rFonts w:ascii="Arial" w:hAnsi="Arial"/>
          <w:sz w:val="24"/>
        </w:rPr>
        <w:t xml:space="preserve"> suivants :</w:t>
      </w:r>
    </w:p>
    <w:p w14:paraId="56ECA2EC" w14:textId="77777777" w:rsidR="009152E3" w:rsidRPr="009152E3" w:rsidRDefault="009152E3" w:rsidP="004C26F9">
      <w:pPr>
        <w:spacing w:after="0" w:line="240" w:lineRule="auto"/>
        <w:jc w:val="both"/>
        <w:outlineLvl w:val="0"/>
        <w:rPr>
          <w:rFonts w:ascii="Arial" w:hAnsi="Arial" w:cs="Arial"/>
          <w:b/>
          <w:sz w:val="24"/>
          <w:szCs w:val="24"/>
        </w:rPr>
      </w:pPr>
    </w:p>
    <w:p w14:paraId="79AC4FF0" w14:textId="4CAF223D" w:rsidR="00B22CBA" w:rsidRPr="009152E3" w:rsidRDefault="00B22CBA" w:rsidP="00B22CBA">
      <w:pPr>
        <w:autoSpaceDE w:val="0"/>
        <w:autoSpaceDN w:val="0"/>
        <w:adjustRightInd w:val="0"/>
        <w:spacing w:after="0" w:line="240" w:lineRule="auto"/>
        <w:jc w:val="both"/>
        <w:rPr>
          <w:rFonts w:ascii="Arial" w:hAnsi="Arial" w:cs="Arial"/>
          <w:sz w:val="24"/>
          <w:szCs w:val="24"/>
          <w:u w:val="single"/>
        </w:rPr>
      </w:pPr>
      <w:r>
        <w:rPr>
          <w:rFonts w:ascii="Arial" w:hAnsi="Arial"/>
          <w:sz w:val="24"/>
          <w:u w:val="single"/>
        </w:rPr>
        <w:t>Réduction des méfaits et des coûts liés à la consommation d’alcool</w:t>
      </w:r>
    </w:p>
    <w:p w14:paraId="6283A631" w14:textId="2D2BF2BF" w:rsidR="00B22CBA" w:rsidRPr="009152E3" w:rsidRDefault="00B22CBA" w:rsidP="00B22CBA">
      <w:pPr>
        <w:numPr>
          <w:ilvl w:val="0"/>
          <w:numId w:val="18"/>
        </w:numPr>
        <w:autoSpaceDE w:val="0"/>
        <w:autoSpaceDN w:val="0"/>
        <w:adjustRightInd w:val="0"/>
        <w:spacing w:after="0" w:line="240" w:lineRule="auto"/>
        <w:jc w:val="both"/>
        <w:rPr>
          <w:rFonts w:ascii="Arial" w:hAnsi="Arial" w:cs="Arial"/>
          <w:sz w:val="24"/>
          <w:szCs w:val="24"/>
        </w:rPr>
      </w:pPr>
      <w:r>
        <w:rPr>
          <w:rFonts w:ascii="Arial" w:hAnsi="Arial"/>
          <w:sz w:val="24"/>
        </w:rPr>
        <w:t xml:space="preserve">Réduction des blessures, </w:t>
      </w:r>
      <w:r w:rsidR="00E17124">
        <w:rPr>
          <w:rFonts w:ascii="Arial" w:hAnsi="Arial"/>
          <w:sz w:val="24"/>
        </w:rPr>
        <w:t>d</w:t>
      </w:r>
      <w:r>
        <w:rPr>
          <w:rFonts w:ascii="Arial" w:hAnsi="Arial"/>
          <w:sz w:val="24"/>
        </w:rPr>
        <w:t xml:space="preserve">es maladies et </w:t>
      </w:r>
      <w:r w:rsidR="00E17124">
        <w:rPr>
          <w:rFonts w:ascii="Arial" w:hAnsi="Arial"/>
          <w:sz w:val="24"/>
        </w:rPr>
        <w:t>d</w:t>
      </w:r>
      <w:r>
        <w:rPr>
          <w:rFonts w:ascii="Arial" w:hAnsi="Arial"/>
          <w:sz w:val="24"/>
        </w:rPr>
        <w:t>es décès évitables liés à l’abus de l’alcool;</w:t>
      </w:r>
    </w:p>
    <w:p w14:paraId="6F8B9751" w14:textId="71A8051C" w:rsidR="00B22CBA" w:rsidRPr="009152E3" w:rsidRDefault="00B22CBA" w:rsidP="00B22CBA">
      <w:pPr>
        <w:numPr>
          <w:ilvl w:val="0"/>
          <w:numId w:val="18"/>
        </w:numPr>
        <w:autoSpaceDE w:val="0"/>
        <w:autoSpaceDN w:val="0"/>
        <w:adjustRightInd w:val="0"/>
        <w:spacing w:after="0" w:line="240" w:lineRule="auto"/>
        <w:jc w:val="both"/>
        <w:rPr>
          <w:rFonts w:ascii="Arial" w:hAnsi="Arial" w:cs="Arial"/>
          <w:sz w:val="24"/>
          <w:szCs w:val="24"/>
        </w:rPr>
      </w:pPr>
      <w:r>
        <w:rPr>
          <w:rFonts w:ascii="Arial" w:hAnsi="Arial"/>
          <w:sz w:val="24"/>
        </w:rPr>
        <w:t>Éducation et sensibilisation du public en matière de consommation sûre d’alcool;</w:t>
      </w:r>
    </w:p>
    <w:p w14:paraId="5938DF62" w14:textId="77777777" w:rsidR="00B22CBA" w:rsidRPr="009152E3" w:rsidRDefault="00B22CBA" w:rsidP="00B22CBA">
      <w:pPr>
        <w:numPr>
          <w:ilvl w:val="0"/>
          <w:numId w:val="18"/>
        </w:numPr>
        <w:autoSpaceDE w:val="0"/>
        <w:autoSpaceDN w:val="0"/>
        <w:adjustRightInd w:val="0"/>
        <w:spacing w:after="0" w:line="240" w:lineRule="auto"/>
        <w:jc w:val="both"/>
        <w:rPr>
          <w:rFonts w:ascii="Arial" w:hAnsi="Arial" w:cs="Arial"/>
          <w:sz w:val="24"/>
          <w:szCs w:val="24"/>
        </w:rPr>
      </w:pPr>
      <w:r>
        <w:rPr>
          <w:rFonts w:ascii="Arial" w:hAnsi="Arial"/>
          <w:sz w:val="24"/>
        </w:rPr>
        <w:t xml:space="preserve">Formation relative au dépistage bref, à l’évaluation, au traitement et à l’aiguillage. </w:t>
      </w:r>
    </w:p>
    <w:p w14:paraId="2EDE3B7B" w14:textId="77777777" w:rsidR="00B22CBA" w:rsidRDefault="00B22CBA" w:rsidP="00D82626">
      <w:pPr>
        <w:autoSpaceDE w:val="0"/>
        <w:autoSpaceDN w:val="0"/>
        <w:adjustRightInd w:val="0"/>
        <w:spacing w:after="0" w:line="240" w:lineRule="auto"/>
        <w:jc w:val="both"/>
        <w:rPr>
          <w:rFonts w:ascii="Arial" w:hAnsi="Arial" w:cs="Arial"/>
          <w:sz w:val="24"/>
          <w:szCs w:val="24"/>
          <w:u w:val="single"/>
        </w:rPr>
      </w:pPr>
    </w:p>
    <w:p w14:paraId="4F331FF6" w14:textId="38570B61" w:rsidR="009152E3" w:rsidRPr="009152E3" w:rsidRDefault="00B22CBA" w:rsidP="00AE1C01">
      <w:pPr>
        <w:autoSpaceDE w:val="0"/>
        <w:autoSpaceDN w:val="0"/>
        <w:adjustRightInd w:val="0"/>
        <w:spacing w:after="0" w:line="240" w:lineRule="auto"/>
        <w:jc w:val="both"/>
        <w:rPr>
          <w:rFonts w:ascii="Arial" w:hAnsi="Arial" w:cs="Arial"/>
          <w:sz w:val="24"/>
          <w:szCs w:val="24"/>
          <w:u w:val="single"/>
        </w:rPr>
      </w:pPr>
      <w:r>
        <w:rPr>
          <w:rFonts w:ascii="Arial" w:hAnsi="Arial"/>
          <w:sz w:val="24"/>
          <w:u w:val="single"/>
        </w:rPr>
        <w:t>Prévention du suicide et promotion de la vie</w:t>
      </w:r>
    </w:p>
    <w:p w14:paraId="775DED3E" w14:textId="2C635295" w:rsidR="009152E3" w:rsidRPr="009152E3" w:rsidRDefault="009152E3" w:rsidP="00AE1C01">
      <w:pPr>
        <w:numPr>
          <w:ilvl w:val="1"/>
          <w:numId w:val="9"/>
        </w:numPr>
        <w:autoSpaceDE w:val="0"/>
        <w:autoSpaceDN w:val="0"/>
        <w:adjustRightInd w:val="0"/>
        <w:spacing w:after="0" w:line="240" w:lineRule="auto"/>
        <w:ind w:left="360"/>
        <w:contextualSpacing/>
        <w:jc w:val="both"/>
        <w:rPr>
          <w:rFonts w:ascii="Arial" w:hAnsi="Arial" w:cs="Arial"/>
          <w:sz w:val="24"/>
          <w:szCs w:val="24"/>
        </w:rPr>
      </w:pPr>
      <w:r>
        <w:rPr>
          <w:rFonts w:ascii="Arial" w:hAnsi="Arial"/>
          <w:sz w:val="24"/>
        </w:rPr>
        <w:t>Réduction de la stigmatisation, éducation et sensibilisation du public;</w:t>
      </w:r>
    </w:p>
    <w:p w14:paraId="119C336E" w14:textId="06DC009B" w:rsidR="009152E3" w:rsidRPr="009152E3" w:rsidRDefault="009152E3" w:rsidP="00AE1C01">
      <w:pPr>
        <w:numPr>
          <w:ilvl w:val="1"/>
          <w:numId w:val="10"/>
        </w:numPr>
        <w:autoSpaceDE w:val="0"/>
        <w:autoSpaceDN w:val="0"/>
        <w:adjustRightInd w:val="0"/>
        <w:spacing w:after="0" w:line="240" w:lineRule="auto"/>
        <w:ind w:left="360"/>
        <w:jc w:val="both"/>
        <w:rPr>
          <w:rFonts w:ascii="Arial" w:hAnsi="Arial" w:cs="Arial"/>
          <w:sz w:val="24"/>
          <w:szCs w:val="24"/>
        </w:rPr>
      </w:pPr>
      <w:r>
        <w:rPr>
          <w:rFonts w:ascii="Arial" w:hAnsi="Arial"/>
          <w:sz w:val="24"/>
        </w:rPr>
        <w:t xml:space="preserve">Initiatives qui renforcent le sentiment d’utilité, d’appartenance et d’espoir chez les </w:t>
      </w:r>
      <w:r w:rsidR="00F318F3">
        <w:rPr>
          <w:rFonts w:ascii="Arial" w:hAnsi="Arial"/>
          <w:sz w:val="24"/>
        </w:rPr>
        <w:t>particuliers</w:t>
      </w:r>
      <w:r>
        <w:rPr>
          <w:rFonts w:ascii="Arial" w:hAnsi="Arial"/>
          <w:sz w:val="24"/>
        </w:rPr>
        <w:t>, les familles et les communautés.</w:t>
      </w:r>
    </w:p>
    <w:p w14:paraId="306DC606" w14:textId="77777777" w:rsidR="009152E3" w:rsidRPr="009152E3" w:rsidRDefault="009152E3" w:rsidP="004C26F9">
      <w:pPr>
        <w:autoSpaceDE w:val="0"/>
        <w:autoSpaceDN w:val="0"/>
        <w:adjustRightInd w:val="0"/>
        <w:spacing w:after="0" w:line="240" w:lineRule="auto"/>
        <w:ind w:left="720"/>
        <w:jc w:val="both"/>
        <w:rPr>
          <w:rFonts w:ascii="Arial" w:hAnsi="Arial" w:cs="Arial"/>
          <w:sz w:val="24"/>
          <w:szCs w:val="24"/>
        </w:rPr>
      </w:pPr>
    </w:p>
    <w:p w14:paraId="171D4984" w14:textId="7963F245" w:rsidR="009152E3" w:rsidRPr="009152E3" w:rsidRDefault="00B22CBA" w:rsidP="00AE1C01">
      <w:pPr>
        <w:autoSpaceDE w:val="0"/>
        <w:autoSpaceDN w:val="0"/>
        <w:adjustRightInd w:val="0"/>
        <w:spacing w:after="0" w:line="240" w:lineRule="auto"/>
        <w:jc w:val="both"/>
        <w:rPr>
          <w:rFonts w:ascii="Arial" w:hAnsi="Arial" w:cs="Arial"/>
          <w:sz w:val="24"/>
          <w:szCs w:val="24"/>
          <w:u w:val="single"/>
        </w:rPr>
      </w:pPr>
      <w:r>
        <w:rPr>
          <w:rFonts w:ascii="Arial" w:hAnsi="Arial"/>
          <w:sz w:val="24"/>
          <w:u w:val="single"/>
        </w:rPr>
        <w:t xml:space="preserve">Partenariats communautaires visant à faire la promotion d’une santé mentale positive </w:t>
      </w:r>
      <w:r w:rsidR="00E17124">
        <w:rPr>
          <w:rFonts w:ascii="Arial" w:hAnsi="Arial"/>
          <w:sz w:val="24"/>
          <w:u w:val="single"/>
        </w:rPr>
        <w:br/>
      </w:r>
      <w:r>
        <w:rPr>
          <w:rFonts w:ascii="Arial" w:hAnsi="Arial"/>
          <w:sz w:val="24"/>
          <w:u w:val="single"/>
        </w:rPr>
        <w:t>et de la résilience</w:t>
      </w:r>
    </w:p>
    <w:p w14:paraId="599A0C1E" w14:textId="77777777" w:rsidR="009152E3" w:rsidRDefault="009152E3" w:rsidP="004C26F9">
      <w:pPr>
        <w:numPr>
          <w:ilvl w:val="0"/>
          <w:numId w:val="13"/>
        </w:numPr>
        <w:autoSpaceDE w:val="0"/>
        <w:autoSpaceDN w:val="0"/>
        <w:adjustRightInd w:val="0"/>
        <w:spacing w:after="0" w:line="240" w:lineRule="auto"/>
        <w:contextualSpacing/>
        <w:jc w:val="both"/>
        <w:rPr>
          <w:rFonts w:ascii="Arial" w:hAnsi="Arial" w:cs="Arial"/>
          <w:sz w:val="24"/>
          <w:szCs w:val="24"/>
        </w:rPr>
      </w:pPr>
      <w:r>
        <w:rPr>
          <w:rFonts w:ascii="Arial" w:hAnsi="Arial"/>
          <w:sz w:val="24"/>
        </w:rPr>
        <w:t xml:space="preserve">Partenariats entre les organismes communautaires, les particuliers et les professionnels de la santé qui profitent à l’ensemble de la collectivité. </w:t>
      </w:r>
    </w:p>
    <w:p w14:paraId="77A011CF" w14:textId="77777777" w:rsidR="00F64DCB" w:rsidRDefault="00F64DCB" w:rsidP="00F64DCB">
      <w:pPr>
        <w:autoSpaceDE w:val="0"/>
        <w:autoSpaceDN w:val="0"/>
        <w:adjustRightInd w:val="0"/>
        <w:spacing w:after="0" w:line="240" w:lineRule="auto"/>
        <w:contextualSpacing/>
        <w:jc w:val="both"/>
        <w:rPr>
          <w:rFonts w:ascii="Arial" w:hAnsi="Arial" w:cs="Arial"/>
          <w:sz w:val="24"/>
          <w:szCs w:val="24"/>
        </w:rPr>
      </w:pPr>
    </w:p>
    <w:p w14:paraId="4BFE4701" w14:textId="1403F626" w:rsidR="000C5A70" w:rsidRDefault="006D51BC" w:rsidP="00143B1B">
      <w:pPr>
        <w:autoSpaceDE w:val="0"/>
        <w:autoSpaceDN w:val="0"/>
        <w:adjustRightInd w:val="0"/>
        <w:spacing w:after="0" w:line="240" w:lineRule="auto"/>
        <w:jc w:val="both"/>
        <w:rPr>
          <w:rFonts w:ascii="Arial" w:hAnsi="Arial" w:cs="Arial"/>
          <w:sz w:val="24"/>
          <w:szCs w:val="24"/>
        </w:rPr>
      </w:pPr>
      <w:r>
        <w:rPr>
          <w:rFonts w:ascii="Arial" w:hAnsi="Arial"/>
          <w:sz w:val="24"/>
        </w:rPr>
        <w:t xml:space="preserve">En plus de traiter des secteurs prioritaires ci-dessus, les initiatives qui seront le plus susceptibles d’être prises en considération pour un financement sont celles qui sont durables au-delà de cette année, comblent une lacune dans la communauté, comprennent la collaboration et des partenariats avec les organismes, les écoles ou les </w:t>
      </w:r>
      <w:r>
        <w:rPr>
          <w:rFonts w:ascii="Arial" w:hAnsi="Arial"/>
          <w:sz w:val="24"/>
        </w:rPr>
        <w:lastRenderedPageBreak/>
        <w:t xml:space="preserve">municipalités, sont accessibles et inclusives pour des populations diverses et profitent au plus grand nombre de personnes possible. </w:t>
      </w:r>
    </w:p>
    <w:p w14:paraId="3DFA64A2" w14:textId="77777777" w:rsidR="00B22CBA" w:rsidRPr="00ED2ABB" w:rsidRDefault="00B22CBA" w:rsidP="004C26F9">
      <w:pPr>
        <w:spacing w:after="0" w:line="240" w:lineRule="auto"/>
        <w:jc w:val="both"/>
        <w:rPr>
          <w:rFonts w:ascii="Arial" w:hAnsi="Arial" w:cs="Arial"/>
          <w:sz w:val="24"/>
          <w:szCs w:val="24"/>
        </w:rPr>
      </w:pPr>
    </w:p>
    <w:p w14:paraId="6AC3BED1" w14:textId="1B0E2672" w:rsidR="00651B7F" w:rsidRDefault="00483D07" w:rsidP="004C26F9">
      <w:pPr>
        <w:autoSpaceDE w:val="0"/>
        <w:autoSpaceDN w:val="0"/>
        <w:adjustRightInd w:val="0"/>
        <w:spacing w:after="0" w:line="240" w:lineRule="auto"/>
        <w:jc w:val="both"/>
        <w:rPr>
          <w:rFonts w:ascii="Arial" w:hAnsi="Arial" w:cs="Arial"/>
          <w:b/>
          <w:bCs/>
          <w:sz w:val="24"/>
          <w:szCs w:val="24"/>
          <w:u w:val="single"/>
        </w:rPr>
      </w:pPr>
      <w:r>
        <w:rPr>
          <w:rFonts w:ascii="Arial" w:hAnsi="Arial"/>
          <w:b/>
          <w:sz w:val="24"/>
          <w:u w:val="single"/>
        </w:rPr>
        <w:t>Groupes cibles</w:t>
      </w:r>
    </w:p>
    <w:p w14:paraId="5E245532" w14:textId="77777777" w:rsidR="00167541" w:rsidRPr="00483D07" w:rsidRDefault="00167541" w:rsidP="004C26F9">
      <w:pPr>
        <w:autoSpaceDE w:val="0"/>
        <w:autoSpaceDN w:val="0"/>
        <w:adjustRightInd w:val="0"/>
        <w:spacing w:after="0" w:line="240" w:lineRule="auto"/>
        <w:jc w:val="both"/>
        <w:rPr>
          <w:rFonts w:ascii="Arial" w:hAnsi="Arial" w:cs="Arial"/>
          <w:b/>
          <w:bCs/>
          <w:sz w:val="24"/>
          <w:szCs w:val="24"/>
          <w:u w:val="single"/>
        </w:rPr>
      </w:pPr>
    </w:p>
    <w:p w14:paraId="6E1A42CD" w14:textId="3A6FB6C7" w:rsidR="00E42C97" w:rsidRPr="00214217" w:rsidRDefault="00E42C97" w:rsidP="004C26F9">
      <w:pPr>
        <w:autoSpaceDE w:val="0"/>
        <w:autoSpaceDN w:val="0"/>
        <w:adjustRightInd w:val="0"/>
        <w:spacing w:after="0" w:line="240" w:lineRule="auto"/>
        <w:jc w:val="both"/>
        <w:rPr>
          <w:rFonts w:ascii="Arial" w:hAnsi="Arial" w:cs="Arial"/>
          <w:sz w:val="24"/>
          <w:szCs w:val="24"/>
        </w:rPr>
      </w:pPr>
      <w:r>
        <w:rPr>
          <w:rFonts w:ascii="Arial" w:hAnsi="Arial"/>
          <w:sz w:val="24"/>
        </w:rPr>
        <w:t xml:space="preserve">Les demandes doivent viser un ou plusieurs des groupes suivants : </w:t>
      </w:r>
    </w:p>
    <w:p w14:paraId="0081B1B5" w14:textId="24B0FA26" w:rsidR="00E42C97" w:rsidRPr="00030BAA" w:rsidRDefault="00E42C97" w:rsidP="00AE1C01">
      <w:pPr>
        <w:pStyle w:val="ListParagraph"/>
        <w:widowControl w:val="0"/>
        <w:numPr>
          <w:ilvl w:val="0"/>
          <w:numId w:val="19"/>
        </w:numPr>
        <w:autoSpaceDE w:val="0"/>
        <w:autoSpaceDN w:val="0"/>
        <w:adjustRightInd w:val="0"/>
        <w:spacing w:after="0" w:line="240" w:lineRule="auto"/>
        <w:contextualSpacing w:val="0"/>
        <w:outlineLvl w:val="0"/>
        <w:rPr>
          <w:rFonts w:ascii="Arial" w:hAnsi="Arial" w:cs="Arial"/>
          <w:sz w:val="24"/>
          <w:szCs w:val="24"/>
        </w:rPr>
      </w:pPr>
      <w:r>
        <w:rPr>
          <w:rFonts w:ascii="Arial" w:hAnsi="Arial"/>
          <w:sz w:val="24"/>
        </w:rPr>
        <w:t>les personnes ayant une expérience vécue;</w:t>
      </w:r>
    </w:p>
    <w:p w14:paraId="0A8B0A5B" w14:textId="54E7741E" w:rsidR="00E42C97" w:rsidRDefault="00E42C97" w:rsidP="00AE1C01">
      <w:pPr>
        <w:pStyle w:val="ListParagraph"/>
        <w:widowControl w:val="0"/>
        <w:numPr>
          <w:ilvl w:val="0"/>
          <w:numId w:val="19"/>
        </w:numPr>
        <w:autoSpaceDE w:val="0"/>
        <w:autoSpaceDN w:val="0"/>
        <w:adjustRightInd w:val="0"/>
        <w:spacing w:after="0" w:line="240" w:lineRule="auto"/>
        <w:contextualSpacing w:val="0"/>
        <w:outlineLvl w:val="0"/>
        <w:rPr>
          <w:rFonts w:ascii="Arial" w:hAnsi="Arial" w:cs="Arial"/>
          <w:sz w:val="24"/>
          <w:szCs w:val="24"/>
        </w:rPr>
      </w:pPr>
      <w:r>
        <w:rPr>
          <w:rFonts w:ascii="Arial" w:hAnsi="Arial"/>
          <w:sz w:val="24"/>
        </w:rPr>
        <w:t>les familles et les ami</w:t>
      </w:r>
      <w:r w:rsidR="000A25E9">
        <w:rPr>
          <w:rFonts w:ascii="Arial" w:hAnsi="Arial"/>
          <w:sz w:val="24"/>
        </w:rPr>
        <w:t>·e·</w:t>
      </w:r>
      <w:r>
        <w:rPr>
          <w:rFonts w:ascii="Arial" w:hAnsi="Arial"/>
          <w:sz w:val="24"/>
        </w:rPr>
        <w:t>s qui ont vécu une tentative de suicide ou une perte;</w:t>
      </w:r>
    </w:p>
    <w:p w14:paraId="1318EEDF" w14:textId="535ECC9E" w:rsidR="00E42C97" w:rsidRPr="00030BAA" w:rsidRDefault="00E42C97" w:rsidP="00AE1C01">
      <w:pPr>
        <w:pStyle w:val="ListParagraph"/>
        <w:widowControl w:val="0"/>
        <w:numPr>
          <w:ilvl w:val="0"/>
          <w:numId w:val="19"/>
        </w:numPr>
        <w:autoSpaceDE w:val="0"/>
        <w:autoSpaceDN w:val="0"/>
        <w:adjustRightInd w:val="0"/>
        <w:spacing w:after="0" w:line="240" w:lineRule="auto"/>
        <w:contextualSpacing w:val="0"/>
        <w:outlineLvl w:val="0"/>
        <w:rPr>
          <w:rFonts w:ascii="Arial" w:hAnsi="Arial" w:cs="Arial"/>
          <w:sz w:val="24"/>
          <w:szCs w:val="24"/>
        </w:rPr>
      </w:pPr>
      <w:r>
        <w:rPr>
          <w:rFonts w:ascii="Arial" w:hAnsi="Arial"/>
          <w:sz w:val="24"/>
        </w:rPr>
        <w:t>les familles et ami</w:t>
      </w:r>
      <w:r w:rsidR="000A25E9">
        <w:rPr>
          <w:rFonts w:ascii="Arial" w:hAnsi="Arial"/>
          <w:sz w:val="24"/>
        </w:rPr>
        <w:t>·e·</w:t>
      </w:r>
      <w:r>
        <w:rPr>
          <w:rFonts w:ascii="Arial" w:hAnsi="Arial"/>
          <w:sz w:val="24"/>
        </w:rPr>
        <w:t>s touché</w:t>
      </w:r>
      <w:r w:rsidR="000A25E9">
        <w:rPr>
          <w:rFonts w:ascii="Arial" w:hAnsi="Arial"/>
          <w:sz w:val="24"/>
        </w:rPr>
        <w:t>·e·</w:t>
      </w:r>
      <w:r>
        <w:rPr>
          <w:rFonts w:ascii="Arial" w:hAnsi="Arial"/>
          <w:sz w:val="24"/>
        </w:rPr>
        <w:t>s par l’alcool et d’autres substances ou dépendances;</w:t>
      </w:r>
    </w:p>
    <w:p w14:paraId="3E90ADA0" w14:textId="179FE4F0" w:rsidR="00E42C97" w:rsidRPr="00030BAA" w:rsidRDefault="00E42C97" w:rsidP="00AE1C01">
      <w:pPr>
        <w:pStyle w:val="ListParagraph"/>
        <w:widowControl w:val="0"/>
        <w:numPr>
          <w:ilvl w:val="0"/>
          <w:numId w:val="19"/>
        </w:numPr>
        <w:autoSpaceDE w:val="0"/>
        <w:autoSpaceDN w:val="0"/>
        <w:adjustRightInd w:val="0"/>
        <w:spacing w:after="0" w:line="240" w:lineRule="auto"/>
        <w:contextualSpacing w:val="0"/>
        <w:outlineLvl w:val="0"/>
        <w:rPr>
          <w:rFonts w:ascii="Arial" w:hAnsi="Arial" w:cs="Arial"/>
          <w:sz w:val="24"/>
          <w:szCs w:val="24"/>
        </w:rPr>
      </w:pPr>
      <w:r>
        <w:rPr>
          <w:rFonts w:ascii="Arial" w:hAnsi="Arial"/>
          <w:sz w:val="24"/>
        </w:rPr>
        <w:t>des co</w:t>
      </w:r>
      <w:r w:rsidR="000A25E9">
        <w:rPr>
          <w:rFonts w:ascii="Arial" w:hAnsi="Arial"/>
          <w:sz w:val="24"/>
        </w:rPr>
        <w:t>mmunaut</w:t>
      </w:r>
      <w:r>
        <w:rPr>
          <w:rFonts w:ascii="Arial" w:hAnsi="Arial"/>
          <w:sz w:val="24"/>
        </w:rPr>
        <w:t>és autochtones</w:t>
      </w:r>
      <w:r w:rsidR="000A25E9">
        <w:rPr>
          <w:rFonts w:ascii="Arial" w:hAnsi="Arial"/>
          <w:sz w:val="24"/>
        </w:rPr>
        <w:t>;</w:t>
      </w:r>
    </w:p>
    <w:p w14:paraId="4F61B5B1" w14:textId="3AB3BD05" w:rsidR="00E42C97" w:rsidRPr="00030BAA" w:rsidRDefault="00E42C97" w:rsidP="00AE1C01">
      <w:pPr>
        <w:pStyle w:val="ListParagraph"/>
        <w:numPr>
          <w:ilvl w:val="0"/>
          <w:numId w:val="19"/>
        </w:numPr>
        <w:spacing w:after="0" w:line="240" w:lineRule="auto"/>
        <w:contextualSpacing w:val="0"/>
        <w:rPr>
          <w:rFonts w:ascii="Arial" w:hAnsi="Arial" w:cs="Arial"/>
          <w:sz w:val="24"/>
          <w:szCs w:val="24"/>
        </w:rPr>
      </w:pPr>
      <w:r>
        <w:rPr>
          <w:rFonts w:ascii="Arial" w:hAnsi="Arial"/>
          <w:sz w:val="24"/>
        </w:rPr>
        <w:t>les premiers</w:t>
      </w:r>
      <w:r w:rsidR="000A25E9">
        <w:rPr>
          <w:rFonts w:ascii="Arial" w:hAnsi="Arial"/>
          <w:sz w:val="24"/>
        </w:rPr>
        <w:t>·ières</w:t>
      </w:r>
      <w:r>
        <w:rPr>
          <w:rFonts w:ascii="Arial" w:hAnsi="Arial"/>
          <w:sz w:val="24"/>
        </w:rPr>
        <w:t xml:space="preserve"> intervenant</w:t>
      </w:r>
      <w:r w:rsidR="000A25E9">
        <w:rPr>
          <w:rFonts w:ascii="Arial" w:hAnsi="Arial"/>
          <w:sz w:val="24"/>
        </w:rPr>
        <w:t>·e·</w:t>
      </w:r>
      <w:r>
        <w:rPr>
          <w:rFonts w:ascii="Arial" w:hAnsi="Arial"/>
          <w:sz w:val="24"/>
        </w:rPr>
        <w:t>s;</w:t>
      </w:r>
    </w:p>
    <w:p w14:paraId="7284324C" w14:textId="3D1B9F1F" w:rsidR="00E42C97" w:rsidRPr="009D2930" w:rsidRDefault="009D2930" w:rsidP="00AE1C01">
      <w:pPr>
        <w:pStyle w:val="ListParagraph"/>
        <w:numPr>
          <w:ilvl w:val="0"/>
          <w:numId w:val="19"/>
        </w:numPr>
        <w:spacing w:after="0" w:line="240" w:lineRule="auto"/>
        <w:contextualSpacing w:val="0"/>
        <w:rPr>
          <w:rFonts w:ascii="Arial" w:hAnsi="Arial" w:cs="Arial"/>
          <w:sz w:val="24"/>
          <w:szCs w:val="24"/>
        </w:rPr>
      </w:pPr>
      <w:r>
        <w:rPr>
          <w:rFonts w:ascii="Arial" w:hAnsi="Arial"/>
          <w:sz w:val="24"/>
        </w:rPr>
        <w:t>la communauté 2ELGBTQIA+;</w:t>
      </w:r>
    </w:p>
    <w:p w14:paraId="548A7622" w14:textId="14CF2722" w:rsidR="00E42C97" w:rsidRPr="00030BAA" w:rsidRDefault="00E42C97" w:rsidP="00AE1C01">
      <w:pPr>
        <w:pStyle w:val="ListParagraph"/>
        <w:numPr>
          <w:ilvl w:val="0"/>
          <w:numId w:val="19"/>
        </w:numPr>
        <w:spacing w:after="0" w:line="240" w:lineRule="auto"/>
        <w:contextualSpacing w:val="0"/>
        <w:rPr>
          <w:rFonts w:ascii="Arial" w:hAnsi="Arial" w:cs="Arial"/>
          <w:sz w:val="24"/>
          <w:szCs w:val="24"/>
        </w:rPr>
      </w:pPr>
      <w:r>
        <w:rPr>
          <w:rFonts w:ascii="Arial" w:hAnsi="Arial"/>
          <w:sz w:val="24"/>
        </w:rPr>
        <w:t>les étudiant</w:t>
      </w:r>
      <w:r w:rsidR="000A25E9">
        <w:rPr>
          <w:rFonts w:ascii="Arial" w:hAnsi="Arial"/>
          <w:sz w:val="24"/>
        </w:rPr>
        <w:t>·e·</w:t>
      </w:r>
      <w:r>
        <w:rPr>
          <w:rFonts w:ascii="Arial" w:hAnsi="Arial"/>
          <w:sz w:val="24"/>
        </w:rPr>
        <w:t>s de niveau postsecondaire;</w:t>
      </w:r>
    </w:p>
    <w:p w14:paraId="5EE2DF2D" w14:textId="61FA4B0E" w:rsidR="00E42C97" w:rsidRDefault="00365525" w:rsidP="00AE1C01">
      <w:pPr>
        <w:pStyle w:val="ListParagraph"/>
        <w:numPr>
          <w:ilvl w:val="0"/>
          <w:numId w:val="19"/>
        </w:numPr>
        <w:spacing w:after="0" w:line="240" w:lineRule="auto"/>
        <w:contextualSpacing w:val="0"/>
        <w:rPr>
          <w:rFonts w:ascii="Arial" w:hAnsi="Arial" w:cs="Arial"/>
          <w:sz w:val="24"/>
          <w:szCs w:val="24"/>
        </w:rPr>
      </w:pPr>
      <w:r>
        <w:rPr>
          <w:rFonts w:ascii="Arial" w:hAnsi="Arial"/>
          <w:sz w:val="24"/>
        </w:rPr>
        <w:t>les jeunes;</w:t>
      </w:r>
    </w:p>
    <w:p w14:paraId="40989F9C" w14:textId="0D8EEAE3" w:rsidR="00E42C97" w:rsidRPr="007637CB" w:rsidRDefault="00E42C97" w:rsidP="00AE1C01">
      <w:pPr>
        <w:pStyle w:val="ListParagraph"/>
        <w:numPr>
          <w:ilvl w:val="0"/>
          <w:numId w:val="19"/>
        </w:numPr>
        <w:spacing w:after="0" w:line="240" w:lineRule="auto"/>
        <w:contextualSpacing w:val="0"/>
        <w:rPr>
          <w:rFonts w:ascii="Arial" w:hAnsi="Arial" w:cs="Arial"/>
          <w:sz w:val="24"/>
          <w:szCs w:val="24"/>
        </w:rPr>
      </w:pPr>
      <w:r>
        <w:rPr>
          <w:rFonts w:ascii="Arial" w:hAnsi="Arial"/>
          <w:sz w:val="24"/>
        </w:rPr>
        <w:t xml:space="preserve">les personnes qui planifient une grossesse ou qui sont enceintes; </w:t>
      </w:r>
    </w:p>
    <w:p w14:paraId="3A2FEA7B" w14:textId="139154AC" w:rsidR="00E42C97" w:rsidRPr="00365525" w:rsidRDefault="00E42C97" w:rsidP="00AE1C01">
      <w:pPr>
        <w:pStyle w:val="ListParagraph"/>
        <w:numPr>
          <w:ilvl w:val="0"/>
          <w:numId w:val="19"/>
        </w:numPr>
        <w:spacing w:after="0" w:line="240" w:lineRule="auto"/>
        <w:contextualSpacing w:val="0"/>
        <w:rPr>
          <w:rFonts w:ascii="Arial" w:hAnsi="Arial" w:cs="Arial"/>
          <w:sz w:val="24"/>
          <w:szCs w:val="24"/>
        </w:rPr>
      </w:pPr>
      <w:r>
        <w:rPr>
          <w:rFonts w:ascii="Arial" w:hAnsi="Arial"/>
          <w:sz w:val="24"/>
        </w:rPr>
        <w:t xml:space="preserve">les </w:t>
      </w:r>
      <w:r w:rsidR="000A25E9">
        <w:rPr>
          <w:rFonts w:ascii="Arial" w:hAnsi="Arial"/>
          <w:sz w:val="24"/>
        </w:rPr>
        <w:t xml:space="preserve">personnes </w:t>
      </w:r>
      <w:r>
        <w:rPr>
          <w:rFonts w:ascii="Arial" w:hAnsi="Arial"/>
          <w:sz w:val="24"/>
        </w:rPr>
        <w:t>aîné</w:t>
      </w:r>
      <w:r w:rsidR="000A25E9">
        <w:rPr>
          <w:rFonts w:ascii="Arial" w:hAnsi="Arial"/>
          <w:sz w:val="24"/>
        </w:rPr>
        <w:t>e</w:t>
      </w:r>
      <w:r>
        <w:rPr>
          <w:rFonts w:ascii="Arial" w:hAnsi="Arial"/>
          <w:sz w:val="24"/>
        </w:rPr>
        <w:t>s.</w:t>
      </w:r>
    </w:p>
    <w:p w14:paraId="5B433D1C" w14:textId="77777777" w:rsidR="00B54382" w:rsidRDefault="00B54382" w:rsidP="004C26F9">
      <w:pPr>
        <w:spacing w:after="0" w:line="240" w:lineRule="auto"/>
        <w:jc w:val="both"/>
        <w:rPr>
          <w:rFonts w:ascii="Arial" w:hAnsi="Arial" w:cs="Arial"/>
          <w:sz w:val="24"/>
          <w:szCs w:val="24"/>
        </w:rPr>
      </w:pPr>
    </w:p>
    <w:p w14:paraId="1DD6EFAA" w14:textId="3755D24A" w:rsidR="00AA2E28" w:rsidRDefault="00AA2E28" w:rsidP="004C26F9">
      <w:pPr>
        <w:spacing w:after="0" w:line="240" w:lineRule="auto"/>
        <w:jc w:val="both"/>
        <w:rPr>
          <w:rFonts w:ascii="Arial" w:hAnsi="Arial" w:cs="Arial"/>
          <w:b/>
          <w:sz w:val="24"/>
          <w:szCs w:val="24"/>
          <w:u w:val="single"/>
        </w:rPr>
      </w:pPr>
      <w:r>
        <w:rPr>
          <w:rFonts w:ascii="Arial" w:hAnsi="Arial"/>
          <w:b/>
          <w:sz w:val="24"/>
          <w:u w:val="single"/>
        </w:rPr>
        <w:t>Critères d’admissibilité et d’inadmissibilité</w:t>
      </w:r>
    </w:p>
    <w:p w14:paraId="41076CDB" w14:textId="77777777" w:rsidR="00AA2E28" w:rsidRPr="00AA2E28" w:rsidRDefault="00AA2E28" w:rsidP="004C26F9">
      <w:pPr>
        <w:spacing w:after="0" w:line="240" w:lineRule="auto"/>
        <w:jc w:val="both"/>
        <w:rPr>
          <w:rFonts w:ascii="Arial" w:hAnsi="Arial" w:cs="Arial"/>
          <w:b/>
          <w:sz w:val="24"/>
          <w:szCs w:val="24"/>
          <w:u w:val="single"/>
        </w:rPr>
      </w:pPr>
    </w:p>
    <w:p w14:paraId="16CC4BED" w14:textId="1A5083A4" w:rsidR="00E42C97" w:rsidRPr="00FB2D34" w:rsidRDefault="00E42C97" w:rsidP="004C26F9">
      <w:pPr>
        <w:spacing w:after="0" w:line="240" w:lineRule="auto"/>
        <w:jc w:val="both"/>
        <w:rPr>
          <w:rFonts w:ascii="Arial" w:hAnsi="Arial" w:cs="Arial"/>
          <w:bCs/>
          <w:sz w:val="24"/>
          <w:szCs w:val="24"/>
        </w:rPr>
      </w:pPr>
      <w:r>
        <w:rPr>
          <w:rFonts w:ascii="Arial" w:hAnsi="Arial"/>
          <w:sz w:val="24"/>
        </w:rPr>
        <w:t>Les dépenses admissibles peuvent notamment comprendre les suivantes :</w:t>
      </w:r>
    </w:p>
    <w:p w14:paraId="3689790C" w14:textId="52DE0103" w:rsidR="00E42C97" w:rsidRPr="00B45FF2" w:rsidRDefault="00E42C97" w:rsidP="00AE1C01">
      <w:pPr>
        <w:pStyle w:val="ListParagraph"/>
        <w:numPr>
          <w:ilvl w:val="0"/>
          <w:numId w:val="20"/>
        </w:numPr>
        <w:spacing w:after="0" w:line="240" w:lineRule="auto"/>
        <w:jc w:val="both"/>
        <w:rPr>
          <w:rFonts w:ascii="Arial" w:hAnsi="Arial" w:cs="Arial"/>
          <w:sz w:val="24"/>
          <w:szCs w:val="24"/>
        </w:rPr>
      </w:pPr>
      <w:r>
        <w:rPr>
          <w:rFonts w:ascii="Arial" w:hAnsi="Arial"/>
          <w:sz w:val="24"/>
        </w:rPr>
        <w:t>matériel documentaire (p. ex. manuels didactiques et pédagogiques);</w:t>
      </w:r>
    </w:p>
    <w:p w14:paraId="18EC2210" w14:textId="6B0A912B" w:rsidR="00C90B32" w:rsidRDefault="00C90B32" w:rsidP="00FB2D34">
      <w:pPr>
        <w:pStyle w:val="ListParagraph"/>
        <w:numPr>
          <w:ilvl w:val="0"/>
          <w:numId w:val="20"/>
        </w:numPr>
        <w:spacing w:after="0" w:line="240" w:lineRule="auto"/>
        <w:jc w:val="both"/>
        <w:rPr>
          <w:rFonts w:ascii="Arial" w:hAnsi="Arial" w:cs="Arial"/>
          <w:sz w:val="24"/>
          <w:szCs w:val="24"/>
        </w:rPr>
      </w:pPr>
      <w:r>
        <w:rPr>
          <w:rFonts w:ascii="Arial" w:hAnsi="Arial"/>
          <w:sz w:val="24"/>
        </w:rPr>
        <w:t>publicité et impression;</w:t>
      </w:r>
    </w:p>
    <w:p w14:paraId="7F38F524" w14:textId="6FF92043" w:rsidR="00757CBE" w:rsidRPr="00757CBE" w:rsidRDefault="00757CBE" w:rsidP="00AE1C01">
      <w:pPr>
        <w:pStyle w:val="ListParagraph"/>
        <w:numPr>
          <w:ilvl w:val="0"/>
          <w:numId w:val="20"/>
        </w:numPr>
        <w:spacing w:after="0" w:line="240" w:lineRule="auto"/>
        <w:jc w:val="both"/>
        <w:rPr>
          <w:rFonts w:ascii="Arial" w:hAnsi="Arial" w:cs="Arial"/>
          <w:sz w:val="24"/>
          <w:szCs w:val="24"/>
        </w:rPr>
      </w:pPr>
      <w:r>
        <w:rPr>
          <w:rFonts w:ascii="Arial" w:hAnsi="Arial"/>
          <w:sz w:val="24"/>
        </w:rPr>
        <w:t xml:space="preserve">honoraires de conférenciers et frais de déplacement des personnes-ressources, </w:t>
      </w:r>
      <w:r w:rsidR="00825C10">
        <w:rPr>
          <w:rFonts w:ascii="Arial" w:hAnsi="Arial"/>
          <w:sz w:val="24"/>
        </w:rPr>
        <w:br/>
      </w:r>
      <w:r>
        <w:rPr>
          <w:rFonts w:ascii="Arial" w:hAnsi="Arial"/>
          <w:sz w:val="24"/>
        </w:rPr>
        <w:t xml:space="preserve">y compris les conférenciers possédant des compétences et des connaissances ou une expertise en matière de contenu. Les honoraires de conférenciers ou les frais de déplacement (y compris les repas et l’hébergement) sont plafonnés à la moitié de la demande totale du projet, jusqu’à un maximum de 5 000 $, et ne doivent pas constituer la principale dépense pour l’initiative. </w:t>
      </w:r>
    </w:p>
    <w:p w14:paraId="5C75406F" w14:textId="77777777" w:rsidR="00C90B32" w:rsidRDefault="00C90B32" w:rsidP="004C26F9">
      <w:pPr>
        <w:spacing w:after="0" w:line="240" w:lineRule="auto"/>
        <w:jc w:val="both"/>
        <w:rPr>
          <w:rFonts w:ascii="Arial" w:hAnsi="Arial" w:cs="Arial"/>
          <w:b/>
          <w:sz w:val="24"/>
          <w:szCs w:val="24"/>
        </w:rPr>
      </w:pPr>
    </w:p>
    <w:p w14:paraId="0DCB4F03" w14:textId="5A0066D1" w:rsidR="00E42C97" w:rsidRPr="00FB2D34" w:rsidRDefault="00E42C97" w:rsidP="004C26F9">
      <w:pPr>
        <w:spacing w:after="0" w:line="240" w:lineRule="auto"/>
        <w:jc w:val="both"/>
        <w:rPr>
          <w:rFonts w:ascii="Arial" w:hAnsi="Arial" w:cs="Arial"/>
          <w:bCs/>
          <w:sz w:val="24"/>
          <w:szCs w:val="24"/>
        </w:rPr>
      </w:pPr>
      <w:r>
        <w:rPr>
          <w:rFonts w:ascii="Arial" w:hAnsi="Arial"/>
          <w:sz w:val="24"/>
        </w:rPr>
        <w:t>Les dépenses non admissibles comprennent ce qui suit :</w:t>
      </w:r>
    </w:p>
    <w:p w14:paraId="4BA2D1B3" w14:textId="08CD8F13" w:rsidR="00E42C97" w:rsidRDefault="00E42C97" w:rsidP="00AE1C01">
      <w:pPr>
        <w:pStyle w:val="ListParagraph"/>
        <w:numPr>
          <w:ilvl w:val="0"/>
          <w:numId w:val="23"/>
        </w:numPr>
        <w:spacing w:after="0" w:line="240" w:lineRule="auto"/>
        <w:jc w:val="both"/>
        <w:rPr>
          <w:rFonts w:ascii="Arial" w:hAnsi="Arial" w:cs="Arial"/>
          <w:sz w:val="24"/>
          <w:szCs w:val="24"/>
        </w:rPr>
      </w:pPr>
      <w:r>
        <w:rPr>
          <w:rFonts w:ascii="Arial" w:hAnsi="Arial"/>
          <w:sz w:val="24"/>
        </w:rPr>
        <w:t>projets qui recoupent manifestement des activités existantes au sein de la collectivité;</w:t>
      </w:r>
    </w:p>
    <w:p w14:paraId="40538EED" w14:textId="34991CB6" w:rsidR="00E42C97" w:rsidRDefault="00E42C97" w:rsidP="00AE1C01">
      <w:pPr>
        <w:pStyle w:val="ListParagraph"/>
        <w:numPr>
          <w:ilvl w:val="0"/>
          <w:numId w:val="23"/>
        </w:numPr>
        <w:spacing w:after="0" w:line="240" w:lineRule="auto"/>
        <w:jc w:val="both"/>
        <w:rPr>
          <w:rFonts w:ascii="Arial" w:hAnsi="Arial" w:cs="Arial"/>
          <w:sz w:val="24"/>
          <w:szCs w:val="24"/>
        </w:rPr>
      </w:pPr>
      <w:r>
        <w:rPr>
          <w:rFonts w:ascii="Arial" w:hAnsi="Arial"/>
          <w:sz w:val="24"/>
        </w:rPr>
        <w:t xml:space="preserve">activités qui peuvent être réalisées par les employés </w:t>
      </w:r>
      <w:r w:rsidR="00F32496">
        <w:rPr>
          <w:rFonts w:ascii="Arial" w:hAnsi="Arial"/>
          <w:sz w:val="24"/>
        </w:rPr>
        <w:t>S</w:t>
      </w:r>
      <w:r>
        <w:rPr>
          <w:rFonts w:ascii="Arial" w:hAnsi="Arial"/>
          <w:sz w:val="24"/>
        </w:rPr>
        <w:t>anté Terre-Neuve-et-Labrador ou au sein de l’autorité provinciale de la santé;</w:t>
      </w:r>
    </w:p>
    <w:p w14:paraId="609EFE33" w14:textId="11AA5AA1" w:rsidR="00E42C97" w:rsidRDefault="00E42C97" w:rsidP="00AE1C01">
      <w:pPr>
        <w:pStyle w:val="ListParagraph"/>
        <w:numPr>
          <w:ilvl w:val="0"/>
          <w:numId w:val="23"/>
        </w:numPr>
        <w:spacing w:after="0" w:line="240" w:lineRule="auto"/>
        <w:jc w:val="both"/>
        <w:rPr>
          <w:rFonts w:ascii="Arial" w:hAnsi="Arial" w:cs="Arial"/>
          <w:sz w:val="24"/>
          <w:szCs w:val="24"/>
        </w:rPr>
      </w:pPr>
      <w:r>
        <w:rPr>
          <w:rFonts w:ascii="Arial" w:hAnsi="Arial"/>
          <w:sz w:val="24"/>
        </w:rPr>
        <w:t>contributions à des campagnes annuelles de financement;</w:t>
      </w:r>
    </w:p>
    <w:p w14:paraId="2C6E018A" w14:textId="50F68260" w:rsidR="00F4571D" w:rsidRPr="00DA6921" w:rsidRDefault="00F4571D" w:rsidP="00AE1C01">
      <w:pPr>
        <w:pStyle w:val="ListParagraph"/>
        <w:numPr>
          <w:ilvl w:val="0"/>
          <w:numId w:val="23"/>
        </w:numPr>
        <w:spacing w:after="0" w:line="240" w:lineRule="auto"/>
        <w:jc w:val="both"/>
        <w:rPr>
          <w:rFonts w:ascii="Arial" w:hAnsi="Arial" w:cs="Arial"/>
          <w:sz w:val="24"/>
          <w:szCs w:val="24"/>
        </w:rPr>
      </w:pPr>
      <w:r>
        <w:rPr>
          <w:rFonts w:ascii="Arial" w:hAnsi="Arial"/>
          <w:sz w:val="24"/>
        </w:rPr>
        <w:t>salaires des employés;</w:t>
      </w:r>
    </w:p>
    <w:p w14:paraId="4E8ADE24" w14:textId="501D08E4" w:rsidR="00E42C97" w:rsidRDefault="00E42C97" w:rsidP="00AE1C01">
      <w:pPr>
        <w:pStyle w:val="ListParagraph"/>
        <w:numPr>
          <w:ilvl w:val="0"/>
          <w:numId w:val="23"/>
        </w:numPr>
        <w:spacing w:after="0" w:line="240" w:lineRule="auto"/>
        <w:jc w:val="both"/>
        <w:rPr>
          <w:rFonts w:ascii="Arial" w:hAnsi="Arial" w:cs="Arial"/>
          <w:sz w:val="24"/>
          <w:szCs w:val="24"/>
        </w:rPr>
      </w:pPr>
      <w:r>
        <w:rPr>
          <w:rFonts w:ascii="Arial" w:hAnsi="Arial"/>
          <w:sz w:val="24"/>
        </w:rPr>
        <w:t xml:space="preserve">coûts de fonctionnement de base (p. ex. chauffage, éclairage, </w:t>
      </w:r>
      <w:r w:rsidR="00F32496">
        <w:rPr>
          <w:rFonts w:ascii="Arial" w:hAnsi="Arial"/>
          <w:sz w:val="24"/>
        </w:rPr>
        <w:t xml:space="preserve">frais de </w:t>
      </w:r>
      <w:r>
        <w:rPr>
          <w:rFonts w:ascii="Arial" w:hAnsi="Arial"/>
          <w:sz w:val="24"/>
        </w:rPr>
        <w:t>personnel);</w:t>
      </w:r>
    </w:p>
    <w:p w14:paraId="4078EF55" w14:textId="1BF478BD" w:rsidR="00E42C97" w:rsidRPr="00DA6921" w:rsidRDefault="00E42C97" w:rsidP="00AE1C01">
      <w:pPr>
        <w:pStyle w:val="ListParagraph"/>
        <w:numPr>
          <w:ilvl w:val="0"/>
          <w:numId w:val="23"/>
        </w:numPr>
        <w:spacing w:after="0" w:line="240" w:lineRule="auto"/>
        <w:jc w:val="both"/>
        <w:rPr>
          <w:rFonts w:ascii="Arial" w:hAnsi="Arial" w:cs="Arial"/>
          <w:sz w:val="24"/>
          <w:szCs w:val="24"/>
        </w:rPr>
      </w:pPr>
      <w:r>
        <w:rPr>
          <w:rFonts w:ascii="Arial" w:hAnsi="Arial"/>
          <w:sz w:val="24"/>
        </w:rPr>
        <w:t>dépenses d’immobilisations (p. ex. rénovations d’immeuble, mobilier de bureau, etc.);</w:t>
      </w:r>
    </w:p>
    <w:p w14:paraId="7A826B10" w14:textId="1AE3E96B" w:rsidR="00E42C97" w:rsidRPr="00DA6921" w:rsidRDefault="00F32496" w:rsidP="00AE1C01">
      <w:pPr>
        <w:pStyle w:val="ListParagraph"/>
        <w:numPr>
          <w:ilvl w:val="0"/>
          <w:numId w:val="23"/>
        </w:numPr>
        <w:spacing w:after="0" w:line="240" w:lineRule="auto"/>
        <w:jc w:val="both"/>
        <w:rPr>
          <w:rFonts w:ascii="Arial" w:hAnsi="Arial" w:cs="Arial"/>
          <w:sz w:val="24"/>
          <w:szCs w:val="24"/>
        </w:rPr>
      </w:pPr>
      <w:r>
        <w:rPr>
          <w:rFonts w:ascii="Arial" w:hAnsi="Arial"/>
          <w:sz w:val="24"/>
        </w:rPr>
        <w:t xml:space="preserve">services ou </w:t>
      </w:r>
      <w:r w:rsidR="00E42C97">
        <w:rPr>
          <w:rFonts w:ascii="Arial" w:hAnsi="Arial"/>
          <w:sz w:val="24"/>
        </w:rPr>
        <w:t>bourses d’études individuels;</w:t>
      </w:r>
    </w:p>
    <w:p w14:paraId="32D10996" w14:textId="46327942" w:rsidR="0069440E" w:rsidRDefault="0069440E" w:rsidP="00AE1C01">
      <w:pPr>
        <w:pStyle w:val="ListParagraph"/>
        <w:numPr>
          <w:ilvl w:val="0"/>
          <w:numId w:val="23"/>
        </w:numPr>
        <w:spacing w:after="0" w:line="240" w:lineRule="auto"/>
        <w:jc w:val="both"/>
        <w:rPr>
          <w:rFonts w:ascii="Arial" w:hAnsi="Arial" w:cs="Arial"/>
          <w:sz w:val="24"/>
          <w:szCs w:val="24"/>
        </w:rPr>
      </w:pPr>
      <w:r>
        <w:rPr>
          <w:rFonts w:ascii="Arial" w:hAnsi="Arial"/>
          <w:sz w:val="24"/>
        </w:rPr>
        <w:t>développement de programmes</w:t>
      </w:r>
      <w:r w:rsidR="00F32496">
        <w:rPr>
          <w:rFonts w:ascii="Arial" w:hAnsi="Arial"/>
          <w:sz w:val="24"/>
        </w:rPr>
        <w:t xml:space="preserve"> ou </w:t>
      </w:r>
      <w:r>
        <w:rPr>
          <w:rFonts w:ascii="Arial" w:hAnsi="Arial"/>
          <w:sz w:val="24"/>
        </w:rPr>
        <w:t>d’entreprise;</w:t>
      </w:r>
    </w:p>
    <w:p w14:paraId="7852472F" w14:textId="7357FF44" w:rsidR="00E42C97" w:rsidRDefault="00E42C97" w:rsidP="00AE1C01">
      <w:pPr>
        <w:pStyle w:val="ListParagraph"/>
        <w:numPr>
          <w:ilvl w:val="0"/>
          <w:numId w:val="23"/>
        </w:numPr>
        <w:spacing w:after="0" w:line="240" w:lineRule="auto"/>
        <w:jc w:val="both"/>
        <w:rPr>
          <w:rFonts w:ascii="Arial" w:hAnsi="Arial" w:cs="Arial"/>
          <w:sz w:val="24"/>
          <w:szCs w:val="24"/>
        </w:rPr>
      </w:pPr>
      <w:r>
        <w:rPr>
          <w:rFonts w:ascii="Arial" w:hAnsi="Arial"/>
          <w:sz w:val="24"/>
        </w:rPr>
        <w:t>frais d’adhésion;</w:t>
      </w:r>
    </w:p>
    <w:p w14:paraId="0781D861" w14:textId="77777777" w:rsidR="00E42C97" w:rsidRDefault="00E42C97" w:rsidP="00AE1C01">
      <w:pPr>
        <w:pStyle w:val="ListParagraph"/>
        <w:numPr>
          <w:ilvl w:val="0"/>
          <w:numId w:val="23"/>
        </w:numPr>
        <w:spacing w:after="0" w:line="240" w:lineRule="auto"/>
        <w:jc w:val="both"/>
        <w:rPr>
          <w:rFonts w:ascii="Arial" w:hAnsi="Arial" w:cs="Arial"/>
          <w:sz w:val="24"/>
          <w:szCs w:val="24"/>
        </w:rPr>
      </w:pPr>
      <w:r>
        <w:rPr>
          <w:rFonts w:ascii="Arial" w:hAnsi="Arial"/>
          <w:sz w:val="24"/>
        </w:rPr>
        <w:t>initiatives du secteur privé.</w:t>
      </w:r>
    </w:p>
    <w:p w14:paraId="228033B4" w14:textId="77777777" w:rsidR="005A2254" w:rsidRPr="005D340E" w:rsidRDefault="005A2254" w:rsidP="004C26F9">
      <w:pPr>
        <w:pStyle w:val="ListParagraph"/>
        <w:spacing w:after="0" w:line="240" w:lineRule="auto"/>
        <w:jc w:val="both"/>
        <w:rPr>
          <w:rFonts w:ascii="Arial" w:hAnsi="Arial" w:cs="Arial"/>
          <w:sz w:val="24"/>
          <w:szCs w:val="24"/>
        </w:rPr>
      </w:pPr>
    </w:p>
    <w:p w14:paraId="67A7AA6D" w14:textId="38D7FCCC" w:rsidR="00E42C97" w:rsidRDefault="00E42C97" w:rsidP="004C26F9">
      <w:pPr>
        <w:spacing w:after="0" w:line="240" w:lineRule="auto"/>
        <w:contextualSpacing/>
        <w:jc w:val="both"/>
        <w:rPr>
          <w:rFonts w:ascii="Arial" w:hAnsi="Arial" w:cs="Arial"/>
          <w:sz w:val="24"/>
          <w:szCs w:val="24"/>
        </w:rPr>
      </w:pPr>
      <w:r>
        <w:rPr>
          <w:rFonts w:ascii="Arial" w:hAnsi="Arial"/>
          <w:sz w:val="24"/>
        </w:rPr>
        <w:t>Des lettres d’appui ne sont pas exigées et ne seront pas utilisées pour l’évaluation des propositions.</w:t>
      </w:r>
    </w:p>
    <w:p w14:paraId="55AE4A08" w14:textId="77777777" w:rsidR="001671A3" w:rsidRPr="00AE1C01" w:rsidRDefault="001671A3" w:rsidP="001671A3">
      <w:pPr>
        <w:spacing w:after="0" w:line="240" w:lineRule="auto"/>
        <w:contextualSpacing/>
        <w:jc w:val="both"/>
        <w:rPr>
          <w:rFonts w:cstheme="minorHAnsi"/>
          <w:sz w:val="24"/>
          <w:szCs w:val="24"/>
        </w:rPr>
      </w:pPr>
    </w:p>
    <w:p w14:paraId="35588914" w14:textId="77777777" w:rsidR="001671A3" w:rsidRPr="00AE1C01" w:rsidRDefault="001671A3" w:rsidP="00AE1C01">
      <w:pPr>
        <w:spacing w:after="0" w:line="240" w:lineRule="auto"/>
        <w:rPr>
          <w:rFonts w:eastAsiaTheme="minorHAnsi" w:cstheme="minorHAnsi"/>
          <w:sz w:val="24"/>
          <w:szCs w:val="24"/>
        </w:rPr>
      </w:pPr>
      <w:r>
        <w:rPr>
          <w:sz w:val="24"/>
        </w:rPr>
        <w:lastRenderedPageBreak/>
        <w:t>Si vous offrez des repas ou des collations aux participants dans le cadre de votre projet, veuillez proposer des options saines. Pour en savoir plus sur les aliments et les boissons à offrir, consultez les sites suivants :</w:t>
      </w:r>
    </w:p>
    <w:p w14:paraId="208FA0CE" w14:textId="77777777" w:rsidR="001671A3" w:rsidRPr="00AE1C01" w:rsidRDefault="00186B17" w:rsidP="00AE1C01">
      <w:pPr>
        <w:pStyle w:val="ListParagraph"/>
        <w:numPr>
          <w:ilvl w:val="0"/>
          <w:numId w:val="25"/>
        </w:numPr>
        <w:spacing w:after="0" w:line="240" w:lineRule="auto"/>
        <w:jc w:val="both"/>
        <w:rPr>
          <w:rFonts w:cstheme="minorHAnsi"/>
          <w:sz w:val="24"/>
          <w:szCs w:val="24"/>
        </w:rPr>
      </w:pPr>
      <w:hyperlink r:id="rId9" w:history="1">
        <w:r>
          <w:rPr>
            <w:rStyle w:val="Hyperlink"/>
            <w:sz w:val="24"/>
          </w:rPr>
          <w:t>Community Healthy Eating Guide</w:t>
        </w:r>
      </w:hyperlink>
      <w:r>
        <w:t xml:space="preserve"> </w:t>
      </w:r>
      <w:r w:rsidRPr="00825C10">
        <w:rPr>
          <w:sz w:val="24"/>
        </w:rPr>
        <w:t>(en anglais seulement)</w:t>
      </w:r>
      <w:r>
        <w:rPr>
          <w:color w:val="1F497D"/>
          <w:sz w:val="24"/>
        </w:rPr>
        <w:t xml:space="preserve"> </w:t>
      </w:r>
    </w:p>
    <w:p w14:paraId="4118BED3" w14:textId="77777777" w:rsidR="001671A3" w:rsidRPr="00AE1C01" w:rsidRDefault="00186B17" w:rsidP="00AE1C01">
      <w:pPr>
        <w:pStyle w:val="ListParagraph"/>
        <w:numPr>
          <w:ilvl w:val="0"/>
          <w:numId w:val="25"/>
        </w:numPr>
        <w:spacing w:after="0" w:line="240" w:lineRule="auto"/>
        <w:jc w:val="both"/>
        <w:rPr>
          <w:rFonts w:cstheme="minorHAnsi"/>
          <w:sz w:val="24"/>
          <w:szCs w:val="24"/>
        </w:rPr>
      </w:pPr>
      <w:hyperlink r:id="rId10" w:history="1">
        <w:r>
          <w:rPr>
            <w:rStyle w:val="Hyperlink"/>
            <w:color w:val="0070C0"/>
            <w:sz w:val="24"/>
          </w:rPr>
          <w:t>Le guide alimentaire canadien</w:t>
        </w:r>
      </w:hyperlink>
      <w:r>
        <w:rPr>
          <w:sz w:val="24"/>
        </w:rPr>
        <w:t xml:space="preserve">  </w:t>
      </w:r>
    </w:p>
    <w:p w14:paraId="6D5D8322" w14:textId="77777777" w:rsidR="001671A3" w:rsidRPr="00AE1C01" w:rsidRDefault="00186B17" w:rsidP="00AE1C01">
      <w:pPr>
        <w:pStyle w:val="ListParagraph"/>
        <w:numPr>
          <w:ilvl w:val="0"/>
          <w:numId w:val="25"/>
        </w:numPr>
        <w:spacing w:after="0" w:line="240" w:lineRule="auto"/>
        <w:jc w:val="both"/>
        <w:rPr>
          <w:rFonts w:cstheme="minorHAnsi"/>
          <w:sz w:val="24"/>
          <w:szCs w:val="24"/>
        </w:rPr>
      </w:pPr>
      <w:hyperlink r:id="rId11" w:history="1">
        <w:r>
          <w:rPr>
            <w:rStyle w:val="Hyperlink"/>
            <w:sz w:val="24"/>
          </w:rPr>
          <w:t>Affordable Healthy Eating</w:t>
        </w:r>
      </w:hyperlink>
      <w:r>
        <w:t xml:space="preserve"> </w:t>
      </w:r>
      <w:r w:rsidRPr="00825C10">
        <w:rPr>
          <w:sz w:val="24"/>
        </w:rPr>
        <w:t>(en anglais seulement)</w:t>
      </w:r>
      <w:r>
        <w:rPr>
          <w:sz w:val="24"/>
        </w:rPr>
        <w:t xml:space="preserve"> </w:t>
      </w:r>
    </w:p>
    <w:p w14:paraId="377CB16E" w14:textId="77777777" w:rsidR="001671A3" w:rsidRPr="00AE1C01" w:rsidRDefault="00186B17" w:rsidP="00AE1C01">
      <w:pPr>
        <w:pStyle w:val="ListParagraph"/>
        <w:numPr>
          <w:ilvl w:val="0"/>
          <w:numId w:val="25"/>
        </w:numPr>
        <w:spacing w:after="0" w:line="240" w:lineRule="auto"/>
        <w:jc w:val="both"/>
        <w:rPr>
          <w:rFonts w:cstheme="minorHAnsi"/>
          <w:sz w:val="24"/>
          <w:szCs w:val="24"/>
        </w:rPr>
      </w:pPr>
      <w:hyperlink r:id="rId12" w:history="1">
        <w:r>
          <w:rPr>
            <w:rStyle w:val="Hyperlink"/>
            <w:sz w:val="24"/>
          </w:rPr>
          <w:t>Lignes directrices provinciales en matière d’alimentation dans les écoles</w:t>
        </w:r>
      </w:hyperlink>
      <w:r>
        <w:rPr>
          <w:sz w:val="24"/>
        </w:rPr>
        <w:t xml:space="preserve"> </w:t>
      </w:r>
    </w:p>
    <w:p w14:paraId="7BC48F9C" w14:textId="77777777" w:rsidR="001671A3" w:rsidRDefault="001671A3" w:rsidP="004C26F9">
      <w:pPr>
        <w:spacing w:after="0" w:line="240" w:lineRule="auto"/>
        <w:contextualSpacing/>
        <w:jc w:val="both"/>
        <w:rPr>
          <w:rFonts w:ascii="Arial" w:hAnsi="Arial" w:cs="Arial"/>
          <w:sz w:val="24"/>
          <w:szCs w:val="24"/>
        </w:rPr>
      </w:pPr>
    </w:p>
    <w:p w14:paraId="0C6C23F0" w14:textId="6AF5672D" w:rsidR="00F64DCB" w:rsidRDefault="00F64DCB" w:rsidP="004C26F9">
      <w:pPr>
        <w:widowControl w:val="0"/>
        <w:autoSpaceDE w:val="0"/>
        <w:autoSpaceDN w:val="0"/>
        <w:adjustRightInd w:val="0"/>
        <w:spacing w:after="0" w:line="240" w:lineRule="auto"/>
        <w:contextualSpacing/>
        <w:rPr>
          <w:rFonts w:ascii="Arial" w:hAnsi="Arial" w:cs="Arial"/>
          <w:b/>
          <w:sz w:val="24"/>
          <w:szCs w:val="24"/>
          <w:u w:val="single"/>
        </w:rPr>
      </w:pPr>
      <w:r>
        <w:rPr>
          <w:rFonts w:ascii="Arial" w:hAnsi="Arial"/>
          <w:b/>
          <w:sz w:val="24"/>
          <w:u w:val="single"/>
        </w:rPr>
        <w:t>Exigences relatives aux demandes</w:t>
      </w:r>
    </w:p>
    <w:p w14:paraId="17146487" w14:textId="77777777" w:rsidR="00CC7512" w:rsidRPr="00AE1C01" w:rsidRDefault="00CC7512" w:rsidP="004C26F9">
      <w:pPr>
        <w:widowControl w:val="0"/>
        <w:autoSpaceDE w:val="0"/>
        <w:autoSpaceDN w:val="0"/>
        <w:adjustRightInd w:val="0"/>
        <w:spacing w:after="0" w:line="240" w:lineRule="auto"/>
        <w:contextualSpacing/>
        <w:rPr>
          <w:rFonts w:ascii="Arial" w:hAnsi="Arial" w:cs="Arial"/>
          <w:b/>
          <w:sz w:val="24"/>
          <w:szCs w:val="24"/>
          <w:u w:val="single"/>
        </w:rPr>
      </w:pPr>
    </w:p>
    <w:p w14:paraId="63726CC6" w14:textId="5524DF44" w:rsidR="00F64DCB" w:rsidRPr="00AE1C01" w:rsidRDefault="00F64DCB" w:rsidP="00AE1C01">
      <w:pPr>
        <w:pStyle w:val="ListParagraph"/>
        <w:numPr>
          <w:ilvl w:val="0"/>
          <w:numId w:val="22"/>
        </w:numPr>
        <w:spacing w:after="0" w:line="240" w:lineRule="auto"/>
        <w:ind w:left="360"/>
        <w:jc w:val="both"/>
        <w:rPr>
          <w:rStyle w:val="Hyperlink"/>
          <w:rFonts w:ascii="Arial" w:hAnsi="Arial" w:cs="Arial"/>
          <w:color w:val="auto"/>
          <w:sz w:val="24"/>
          <w:szCs w:val="24"/>
          <w:u w:val="none"/>
        </w:rPr>
      </w:pPr>
      <w:r>
        <w:rPr>
          <w:rFonts w:ascii="Arial" w:hAnsi="Arial"/>
          <w:sz w:val="24"/>
        </w:rPr>
        <w:t xml:space="preserve">Une demande détaillée et complète qui répond entièrement aux critères d’admissibilité et à toutes les questions du formulaire de demande doit être présentée avant la date limite à : </w:t>
      </w:r>
      <w:hyperlink r:id="rId13" w:history="1">
        <w:r>
          <w:rPr>
            <w:rStyle w:val="Hyperlink"/>
            <w:rFonts w:ascii="Arial" w:hAnsi="Arial"/>
            <w:b/>
            <w:sz w:val="24"/>
          </w:rPr>
          <w:t>CAPMHPgrants@gov.nl.ca</w:t>
        </w:r>
      </w:hyperlink>
      <w:r>
        <w:rPr>
          <w:rStyle w:val="Hyperlink"/>
          <w:rFonts w:ascii="Arial" w:hAnsi="Arial"/>
          <w:b/>
          <w:sz w:val="24"/>
        </w:rPr>
        <w:t xml:space="preserve">. </w:t>
      </w:r>
    </w:p>
    <w:p w14:paraId="265587F7" w14:textId="45A30341" w:rsidR="00F64DCB" w:rsidRPr="009736AA" w:rsidRDefault="00F64DCB" w:rsidP="00AE1C01">
      <w:pPr>
        <w:pStyle w:val="ListParagraph"/>
        <w:widowControl w:val="0"/>
        <w:numPr>
          <w:ilvl w:val="0"/>
          <w:numId w:val="24"/>
        </w:numPr>
        <w:tabs>
          <w:tab w:val="left" w:pos="1080"/>
        </w:tabs>
        <w:autoSpaceDE w:val="0"/>
        <w:autoSpaceDN w:val="0"/>
        <w:adjustRightInd w:val="0"/>
        <w:spacing w:after="0" w:line="240" w:lineRule="auto"/>
        <w:rPr>
          <w:rStyle w:val="Hyperlink"/>
          <w:rFonts w:ascii="Arial" w:hAnsi="Arial" w:cs="Arial"/>
          <w:bCs/>
          <w:color w:val="auto"/>
          <w:sz w:val="24"/>
          <w:szCs w:val="24"/>
          <w:u w:val="none"/>
        </w:rPr>
      </w:pPr>
      <w:r>
        <w:rPr>
          <w:rStyle w:val="Hyperlink"/>
          <w:rFonts w:ascii="Arial" w:hAnsi="Arial"/>
          <w:color w:val="auto"/>
          <w:sz w:val="24"/>
          <w:u w:val="none"/>
        </w:rPr>
        <w:t xml:space="preserve">Vous pouvez ajouter des pages ou des documents supplémentaires, si nécessaire, pour compléter votre demande. Les demandes incomplètes ne seront </w:t>
      </w:r>
      <w:r>
        <w:rPr>
          <w:rStyle w:val="Hyperlink"/>
          <w:rFonts w:ascii="Arial" w:hAnsi="Arial"/>
          <w:b/>
          <w:color w:val="auto"/>
          <w:sz w:val="24"/>
          <w:u w:val="none"/>
        </w:rPr>
        <w:t>PAS</w:t>
      </w:r>
      <w:r>
        <w:rPr>
          <w:rStyle w:val="Hyperlink"/>
          <w:rFonts w:ascii="Arial" w:hAnsi="Arial"/>
          <w:color w:val="auto"/>
          <w:sz w:val="24"/>
          <w:u w:val="none"/>
        </w:rPr>
        <w:t xml:space="preserve"> acceptées.</w:t>
      </w:r>
    </w:p>
    <w:p w14:paraId="56013E23" w14:textId="312AFD80" w:rsidR="00F64DCB" w:rsidRPr="009736AA" w:rsidRDefault="006D51BC" w:rsidP="00AE1C01">
      <w:pPr>
        <w:pStyle w:val="ListParagraph"/>
        <w:widowControl w:val="0"/>
        <w:numPr>
          <w:ilvl w:val="0"/>
          <w:numId w:val="24"/>
        </w:numPr>
        <w:tabs>
          <w:tab w:val="left" w:pos="1080"/>
        </w:tabs>
        <w:autoSpaceDE w:val="0"/>
        <w:autoSpaceDN w:val="0"/>
        <w:adjustRightInd w:val="0"/>
        <w:spacing w:after="0" w:line="240" w:lineRule="auto"/>
        <w:rPr>
          <w:rFonts w:ascii="Arial" w:hAnsi="Arial" w:cs="Arial"/>
          <w:bCs/>
          <w:sz w:val="24"/>
          <w:szCs w:val="24"/>
        </w:rPr>
      </w:pPr>
      <w:r>
        <w:rPr>
          <w:rStyle w:val="Hyperlink"/>
          <w:rFonts w:ascii="Arial" w:hAnsi="Arial"/>
          <w:color w:val="auto"/>
          <w:sz w:val="24"/>
          <w:u w:val="none"/>
        </w:rPr>
        <w:t>Seuls les projets qui ont lieu à Terre-Neuve-et-Labrador seront pris en considération</w:t>
      </w:r>
      <w:r>
        <w:rPr>
          <w:rFonts w:ascii="Arial" w:hAnsi="Arial"/>
          <w:sz w:val="24"/>
        </w:rPr>
        <w:t>, et la priorité sera accordée aux activités qui continuent de profiter aux personnes et aux collectivités au-delà de la durée du projet.</w:t>
      </w:r>
    </w:p>
    <w:p w14:paraId="253BF8F0" w14:textId="617E4758" w:rsidR="009736AA" w:rsidRPr="00AE1C01" w:rsidRDefault="009736AA" w:rsidP="00AE1C01">
      <w:pPr>
        <w:pStyle w:val="ListParagraph"/>
        <w:widowControl w:val="0"/>
        <w:numPr>
          <w:ilvl w:val="0"/>
          <w:numId w:val="24"/>
        </w:numPr>
        <w:tabs>
          <w:tab w:val="left" w:pos="1080"/>
        </w:tabs>
        <w:autoSpaceDE w:val="0"/>
        <w:autoSpaceDN w:val="0"/>
        <w:adjustRightInd w:val="0"/>
        <w:spacing w:after="0" w:line="240" w:lineRule="auto"/>
        <w:rPr>
          <w:rFonts w:ascii="Arial" w:hAnsi="Arial" w:cs="Arial"/>
          <w:bCs/>
          <w:sz w:val="24"/>
          <w:szCs w:val="24"/>
        </w:rPr>
      </w:pPr>
      <w:r>
        <w:rPr>
          <w:rFonts w:ascii="Arial" w:hAnsi="Arial"/>
          <w:sz w:val="24"/>
        </w:rPr>
        <w:t>Si les projets ont été financés par le Fonds au cours des années précédentes, indiquez comment les fonds antérieurs ont été utilisés et quels résultats ont été obtenus.</w:t>
      </w:r>
    </w:p>
    <w:p w14:paraId="13CFDA7B" w14:textId="77777777" w:rsidR="00F55436" w:rsidRDefault="00F55436" w:rsidP="004C26F9">
      <w:pPr>
        <w:widowControl w:val="0"/>
        <w:autoSpaceDE w:val="0"/>
        <w:autoSpaceDN w:val="0"/>
        <w:adjustRightInd w:val="0"/>
        <w:spacing w:after="0" w:line="240" w:lineRule="auto"/>
        <w:contextualSpacing/>
        <w:rPr>
          <w:rFonts w:ascii="Arial" w:hAnsi="Arial" w:cs="Arial"/>
          <w:b/>
          <w:sz w:val="24"/>
          <w:szCs w:val="24"/>
        </w:rPr>
      </w:pPr>
    </w:p>
    <w:p w14:paraId="13D74458" w14:textId="77777777" w:rsidR="00E2543E" w:rsidRDefault="00E2543E" w:rsidP="004C26F9">
      <w:pPr>
        <w:spacing w:after="0" w:line="240" w:lineRule="auto"/>
        <w:contextualSpacing/>
        <w:jc w:val="both"/>
        <w:rPr>
          <w:rFonts w:ascii="Arial" w:hAnsi="Arial" w:cs="Arial"/>
          <w:b/>
          <w:bCs/>
          <w:sz w:val="24"/>
          <w:szCs w:val="24"/>
          <w:u w:val="single"/>
        </w:rPr>
      </w:pPr>
      <w:r>
        <w:rPr>
          <w:rFonts w:ascii="Arial" w:hAnsi="Arial"/>
          <w:b/>
          <w:sz w:val="24"/>
          <w:u w:val="single"/>
        </w:rPr>
        <w:t>Rapport final</w:t>
      </w:r>
    </w:p>
    <w:p w14:paraId="0A444D02" w14:textId="77777777" w:rsidR="00E2543E" w:rsidRPr="00E2543E" w:rsidRDefault="00E2543E" w:rsidP="004C26F9">
      <w:pPr>
        <w:spacing w:after="0" w:line="240" w:lineRule="auto"/>
        <w:contextualSpacing/>
        <w:jc w:val="both"/>
        <w:rPr>
          <w:rFonts w:ascii="Arial" w:hAnsi="Arial" w:cs="Arial"/>
          <w:b/>
          <w:bCs/>
          <w:sz w:val="24"/>
          <w:szCs w:val="24"/>
          <w:u w:val="single"/>
        </w:rPr>
      </w:pPr>
    </w:p>
    <w:p w14:paraId="3FFED3E6" w14:textId="586030C9" w:rsidR="009D78E9" w:rsidRPr="00CC7512" w:rsidRDefault="004D0B8E" w:rsidP="004C26F9">
      <w:pPr>
        <w:spacing w:after="0" w:line="240" w:lineRule="auto"/>
        <w:contextualSpacing/>
        <w:jc w:val="both"/>
        <w:rPr>
          <w:rFonts w:ascii="Arial" w:hAnsi="Arial" w:cs="Arial"/>
          <w:sz w:val="24"/>
          <w:szCs w:val="24"/>
        </w:rPr>
      </w:pPr>
      <w:r>
        <w:rPr>
          <w:rFonts w:ascii="Arial" w:hAnsi="Arial"/>
          <w:sz w:val="24"/>
        </w:rPr>
        <w:t xml:space="preserve">Tous les projets doivent être terminés dans les 12 mois suivant la réception des fonds, et les bénéficiaires recevront un modèle de rapport final du ministère de la Santé et des Services communautaires qui doit être terminé immédiatement à la fin du projet. </w:t>
      </w:r>
    </w:p>
    <w:p w14:paraId="25290B1E" w14:textId="77777777" w:rsidR="009D78E9" w:rsidRPr="00CC7512" w:rsidRDefault="009D78E9" w:rsidP="004C26F9">
      <w:pPr>
        <w:spacing w:after="0" w:line="240" w:lineRule="auto"/>
        <w:contextualSpacing/>
        <w:jc w:val="both"/>
        <w:rPr>
          <w:rFonts w:ascii="Arial" w:hAnsi="Arial" w:cs="Arial"/>
          <w:sz w:val="24"/>
          <w:szCs w:val="24"/>
        </w:rPr>
      </w:pPr>
    </w:p>
    <w:p w14:paraId="69F3FCD5" w14:textId="7D3C75BE" w:rsidR="008A3F1F" w:rsidRPr="00AE1C01" w:rsidRDefault="00451057" w:rsidP="004C26F9">
      <w:pPr>
        <w:spacing w:after="0" w:line="240" w:lineRule="auto"/>
        <w:contextualSpacing/>
        <w:jc w:val="both"/>
        <w:rPr>
          <w:rFonts w:ascii="Arial" w:hAnsi="Arial" w:cs="Arial"/>
          <w:sz w:val="24"/>
          <w:szCs w:val="24"/>
        </w:rPr>
      </w:pPr>
      <w:r>
        <w:rPr>
          <w:rFonts w:ascii="Arial" w:hAnsi="Arial"/>
          <w:sz w:val="24"/>
        </w:rPr>
        <w:t>Les bénéficiaires de financement qui ne soumettent pas un rapport final peuvent ne pas être pris en considération pour le financement futur.</w:t>
      </w:r>
    </w:p>
    <w:p w14:paraId="4F0751E1" w14:textId="77777777" w:rsidR="00E2543E" w:rsidRDefault="00E2543E" w:rsidP="004C26F9">
      <w:pPr>
        <w:widowControl w:val="0"/>
        <w:autoSpaceDE w:val="0"/>
        <w:autoSpaceDN w:val="0"/>
        <w:adjustRightInd w:val="0"/>
        <w:spacing w:after="0" w:line="240" w:lineRule="auto"/>
        <w:contextualSpacing/>
        <w:rPr>
          <w:rFonts w:ascii="Arial" w:hAnsi="Arial" w:cs="Arial"/>
          <w:b/>
          <w:sz w:val="24"/>
          <w:szCs w:val="24"/>
        </w:rPr>
      </w:pPr>
    </w:p>
    <w:p w14:paraId="453C5B2A" w14:textId="0133091E" w:rsidR="00E2543E" w:rsidRDefault="00E2543E" w:rsidP="004C26F9">
      <w:pPr>
        <w:widowControl w:val="0"/>
        <w:autoSpaceDE w:val="0"/>
        <w:autoSpaceDN w:val="0"/>
        <w:adjustRightInd w:val="0"/>
        <w:spacing w:after="0" w:line="240" w:lineRule="auto"/>
        <w:contextualSpacing/>
        <w:rPr>
          <w:rFonts w:ascii="Arial" w:hAnsi="Arial" w:cs="Arial"/>
          <w:b/>
          <w:sz w:val="24"/>
          <w:szCs w:val="24"/>
          <w:u w:val="single"/>
        </w:rPr>
      </w:pPr>
      <w:r>
        <w:rPr>
          <w:rFonts w:ascii="Arial" w:hAnsi="Arial"/>
          <w:b/>
          <w:sz w:val="24"/>
          <w:u w:val="single"/>
        </w:rPr>
        <w:t xml:space="preserve">Personnes-ressources des zones </w:t>
      </w:r>
      <w:r w:rsidR="0012427C">
        <w:rPr>
          <w:rFonts w:ascii="Arial" w:hAnsi="Arial"/>
          <w:b/>
          <w:sz w:val="24"/>
          <w:u w:val="single"/>
        </w:rPr>
        <w:t>sanitaires</w:t>
      </w:r>
    </w:p>
    <w:p w14:paraId="736D9459" w14:textId="77777777" w:rsidR="00CC7512" w:rsidRPr="00E2543E" w:rsidRDefault="00CC7512" w:rsidP="004C26F9">
      <w:pPr>
        <w:widowControl w:val="0"/>
        <w:autoSpaceDE w:val="0"/>
        <w:autoSpaceDN w:val="0"/>
        <w:adjustRightInd w:val="0"/>
        <w:spacing w:after="0" w:line="240" w:lineRule="auto"/>
        <w:contextualSpacing/>
        <w:rPr>
          <w:rFonts w:ascii="Arial" w:hAnsi="Arial" w:cs="Arial"/>
          <w:b/>
          <w:sz w:val="24"/>
          <w:szCs w:val="24"/>
          <w:u w:val="single"/>
        </w:rPr>
      </w:pPr>
    </w:p>
    <w:p w14:paraId="2D726074" w14:textId="29AE1612" w:rsidR="00E42C97" w:rsidRPr="00E2543E" w:rsidRDefault="00ED2265" w:rsidP="004C26F9">
      <w:pPr>
        <w:widowControl w:val="0"/>
        <w:autoSpaceDE w:val="0"/>
        <w:autoSpaceDN w:val="0"/>
        <w:adjustRightInd w:val="0"/>
        <w:spacing w:after="0" w:line="240" w:lineRule="auto"/>
        <w:contextualSpacing/>
        <w:rPr>
          <w:rFonts w:ascii="Arial" w:hAnsi="Arial" w:cs="Arial"/>
          <w:bCs/>
          <w:sz w:val="24"/>
          <w:szCs w:val="24"/>
        </w:rPr>
      </w:pPr>
      <w:r>
        <w:rPr>
          <w:rFonts w:ascii="Arial" w:hAnsi="Arial"/>
          <w:sz w:val="24"/>
        </w:rPr>
        <w:t xml:space="preserve">Veuillez communiquer avec le membre du personnel approprié </w:t>
      </w:r>
      <w:r w:rsidR="0012427C">
        <w:rPr>
          <w:rFonts w:ascii="Arial" w:hAnsi="Arial"/>
          <w:sz w:val="24"/>
        </w:rPr>
        <w:t>S</w:t>
      </w:r>
      <w:r>
        <w:rPr>
          <w:rFonts w:ascii="Arial" w:hAnsi="Arial"/>
          <w:sz w:val="24"/>
        </w:rPr>
        <w:t xml:space="preserve">anté Terre-Neuve-et-Labrador si vous avez besoin d’aide pour remplir votre demande.  </w:t>
      </w:r>
    </w:p>
    <w:p w14:paraId="380AA6E6" w14:textId="77777777" w:rsidR="00631231" w:rsidRPr="009E3858" w:rsidRDefault="00631231" w:rsidP="004C26F9">
      <w:pPr>
        <w:widowControl w:val="0"/>
        <w:autoSpaceDE w:val="0"/>
        <w:autoSpaceDN w:val="0"/>
        <w:adjustRightInd w:val="0"/>
        <w:spacing w:after="0" w:line="240" w:lineRule="auto"/>
        <w:ind w:left="20"/>
        <w:contextualSpacing/>
        <w:rPr>
          <w:rFonts w:ascii="Arial" w:hAnsi="Arial" w:cs="Arial"/>
          <w:b/>
          <w:bCs/>
          <w:sz w:val="24"/>
          <w:szCs w:val="24"/>
        </w:rPr>
      </w:pPr>
    </w:p>
    <w:p w14:paraId="318EDE81" w14:textId="1FBBCF9E" w:rsidR="00E42C97" w:rsidRPr="009E3858" w:rsidRDefault="00ED2265" w:rsidP="004C26F9">
      <w:pPr>
        <w:widowControl w:val="0"/>
        <w:autoSpaceDE w:val="0"/>
        <w:autoSpaceDN w:val="0"/>
        <w:adjustRightInd w:val="0"/>
        <w:spacing w:after="0" w:line="240" w:lineRule="auto"/>
        <w:ind w:left="20"/>
        <w:contextualSpacing/>
        <w:rPr>
          <w:rFonts w:ascii="Times New Roman" w:hAnsi="Times New Roman" w:cs="Times New Roman"/>
          <w:sz w:val="24"/>
          <w:szCs w:val="24"/>
        </w:rPr>
      </w:pPr>
      <w:r>
        <w:rPr>
          <w:rFonts w:ascii="Arial" w:hAnsi="Arial"/>
          <w:b/>
          <w:sz w:val="24"/>
        </w:rPr>
        <w:t xml:space="preserve">Zone </w:t>
      </w:r>
      <w:r w:rsidR="0012427C">
        <w:rPr>
          <w:rFonts w:ascii="Arial" w:hAnsi="Arial"/>
          <w:b/>
          <w:sz w:val="24"/>
        </w:rPr>
        <w:t xml:space="preserve">de </w:t>
      </w:r>
      <w:r>
        <w:rPr>
          <w:rFonts w:ascii="Arial" w:hAnsi="Arial"/>
          <w:b/>
          <w:sz w:val="24"/>
        </w:rPr>
        <w:t>Labrador-Grenfell</w:t>
      </w:r>
    </w:p>
    <w:p w14:paraId="34C2FBAE" w14:textId="743E2E37" w:rsidR="00034732" w:rsidRPr="00034732" w:rsidRDefault="00034732" w:rsidP="00034732">
      <w:pPr>
        <w:widowControl w:val="0"/>
        <w:autoSpaceDE w:val="0"/>
        <w:autoSpaceDN w:val="0"/>
        <w:adjustRightInd w:val="0"/>
        <w:spacing w:after="0" w:line="240" w:lineRule="auto"/>
        <w:ind w:left="20"/>
        <w:contextualSpacing/>
        <w:rPr>
          <w:rFonts w:ascii="Arial" w:hAnsi="Arial" w:cs="Arial"/>
          <w:sz w:val="24"/>
          <w:szCs w:val="24"/>
        </w:rPr>
      </w:pPr>
      <w:r>
        <w:rPr>
          <w:rFonts w:ascii="Arial" w:hAnsi="Arial"/>
          <w:sz w:val="24"/>
        </w:rPr>
        <w:t xml:space="preserve">Carla Penney, </w:t>
      </w:r>
      <w:bookmarkStart w:id="0" w:name="_Hlk204943100"/>
      <w:r>
        <w:rPr>
          <w:rFonts w:ascii="Arial" w:hAnsi="Arial"/>
          <w:sz w:val="24"/>
        </w:rPr>
        <w:t xml:space="preserve">conseillère régionale en promotion de la santé mentale </w:t>
      </w:r>
      <w:r w:rsidR="00825C10">
        <w:rPr>
          <w:rFonts w:ascii="Arial" w:hAnsi="Arial"/>
          <w:sz w:val="24"/>
        </w:rPr>
        <w:br/>
      </w:r>
      <w:r>
        <w:rPr>
          <w:rFonts w:ascii="Arial" w:hAnsi="Arial"/>
          <w:sz w:val="24"/>
        </w:rPr>
        <w:t>et prévention de la toxicomanie</w:t>
      </w:r>
      <w:bookmarkEnd w:id="0"/>
    </w:p>
    <w:p w14:paraId="096995EC" w14:textId="597A4661" w:rsidR="00034732" w:rsidRPr="00034732" w:rsidRDefault="00034732" w:rsidP="00034732">
      <w:pPr>
        <w:widowControl w:val="0"/>
        <w:autoSpaceDE w:val="0"/>
        <w:autoSpaceDN w:val="0"/>
        <w:adjustRightInd w:val="0"/>
        <w:spacing w:after="0" w:line="240" w:lineRule="auto"/>
        <w:ind w:left="20"/>
        <w:contextualSpacing/>
        <w:rPr>
          <w:rFonts w:ascii="Arial" w:hAnsi="Arial" w:cs="Arial"/>
          <w:sz w:val="24"/>
          <w:szCs w:val="24"/>
        </w:rPr>
      </w:pPr>
      <w:r>
        <w:rPr>
          <w:rFonts w:ascii="Arial" w:hAnsi="Arial"/>
          <w:sz w:val="24"/>
        </w:rPr>
        <w:t>Tél. : (709) </w:t>
      </w:r>
      <w:r w:rsidR="000C6501">
        <w:rPr>
          <w:rFonts w:ascii="Arial" w:hAnsi="Arial"/>
          <w:sz w:val="24"/>
        </w:rPr>
        <w:t>897-3119</w:t>
      </w:r>
    </w:p>
    <w:p w14:paraId="5375D8E9" w14:textId="403C6099" w:rsidR="00E42C97" w:rsidRDefault="00034732" w:rsidP="00034732">
      <w:pPr>
        <w:widowControl w:val="0"/>
        <w:autoSpaceDE w:val="0"/>
        <w:autoSpaceDN w:val="0"/>
        <w:adjustRightInd w:val="0"/>
        <w:spacing w:after="0" w:line="240" w:lineRule="auto"/>
        <w:ind w:left="20"/>
        <w:contextualSpacing/>
        <w:rPr>
          <w:rFonts w:ascii="Arial" w:hAnsi="Arial"/>
          <w:sz w:val="24"/>
        </w:rPr>
      </w:pPr>
      <w:r>
        <w:rPr>
          <w:rFonts w:ascii="Arial" w:hAnsi="Arial"/>
          <w:sz w:val="24"/>
        </w:rPr>
        <w:t xml:space="preserve">Courriel : </w:t>
      </w:r>
      <w:hyperlink r:id="rId14" w:history="1">
        <w:r w:rsidR="00492AC8" w:rsidRPr="00D27844">
          <w:rPr>
            <w:rStyle w:val="Hyperlink"/>
            <w:rFonts w:ascii="Arial" w:hAnsi="Arial"/>
            <w:sz w:val="24"/>
          </w:rPr>
          <w:t>carlam.penney@nlhealthservices.ca</w:t>
        </w:r>
      </w:hyperlink>
    </w:p>
    <w:p w14:paraId="03EDA4D8" w14:textId="77777777" w:rsidR="00A9434E" w:rsidRPr="009E3858" w:rsidRDefault="00A9434E" w:rsidP="004C26F9">
      <w:pPr>
        <w:widowControl w:val="0"/>
        <w:autoSpaceDE w:val="0"/>
        <w:autoSpaceDN w:val="0"/>
        <w:adjustRightInd w:val="0"/>
        <w:spacing w:after="0" w:line="240" w:lineRule="auto"/>
        <w:contextualSpacing/>
        <w:rPr>
          <w:rFonts w:ascii="Arial" w:hAnsi="Arial" w:cs="Arial"/>
          <w:b/>
          <w:bCs/>
          <w:sz w:val="24"/>
          <w:szCs w:val="24"/>
        </w:rPr>
      </w:pPr>
    </w:p>
    <w:p w14:paraId="290C5B53" w14:textId="6832FCA1" w:rsidR="00B95655" w:rsidRPr="009E3858" w:rsidRDefault="00ED2265" w:rsidP="004C26F9">
      <w:pPr>
        <w:widowControl w:val="0"/>
        <w:autoSpaceDE w:val="0"/>
        <w:autoSpaceDN w:val="0"/>
        <w:adjustRightInd w:val="0"/>
        <w:spacing w:after="0" w:line="240" w:lineRule="auto"/>
        <w:contextualSpacing/>
        <w:rPr>
          <w:rFonts w:ascii="Arial" w:hAnsi="Arial" w:cs="Arial"/>
          <w:sz w:val="24"/>
          <w:szCs w:val="24"/>
        </w:rPr>
      </w:pPr>
      <w:r>
        <w:rPr>
          <w:rFonts w:ascii="Arial" w:hAnsi="Arial"/>
          <w:b/>
          <w:sz w:val="24"/>
        </w:rPr>
        <w:t>Zone de l’Ouest</w:t>
      </w:r>
    </w:p>
    <w:p w14:paraId="54111741" w14:textId="07128AD4" w:rsidR="00E42C97" w:rsidRPr="009E3858" w:rsidRDefault="00E42C97" w:rsidP="00AE1C01">
      <w:pPr>
        <w:widowControl w:val="0"/>
        <w:autoSpaceDE w:val="0"/>
        <w:autoSpaceDN w:val="0"/>
        <w:adjustRightInd w:val="0"/>
        <w:spacing w:after="0" w:line="240" w:lineRule="auto"/>
        <w:contextualSpacing/>
        <w:rPr>
          <w:rFonts w:ascii="Arial" w:hAnsi="Arial" w:cs="Arial"/>
          <w:sz w:val="24"/>
          <w:szCs w:val="24"/>
        </w:rPr>
      </w:pPr>
      <w:r>
        <w:rPr>
          <w:rFonts w:ascii="Arial" w:hAnsi="Arial"/>
          <w:sz w:val="24"/>
        </w:rPr>
        <w:t xml:space="preserve">Tara Welsh, conseillère régionale en promotion de la santé mentale </w:t>
      </w:r>
    </w:p>
    <w:p w14:paraId="67218330" w14:textId="0B289CDD" w:rsidR="00E42C97" w:rsidRPr="009E3858" w:rsidRDefault="00E42C97" w:rsidP="004C26F9">
      <w:pPr>
        <w:widowControl w:val="0"/>
        <w:autoSpaceDE w:val="0"/>
        <w:autoSpaceDN w:val="0"/>
        <w:adjustRightInd w:val="0"/>
        <w:spacing w:after="0" w:line="240" w:lineRule="auto"/>
        <w:ind w:left="20"/>
        <w:contextualSpacing/>
        <w:rPr>
          <w:rFonts w:ascii="Arial" w:hAnsi="Arial" w:cs="Arial"/>
          <w:sz w:val="24"/>
          <w:szCs w:val="24"/>
        </w:rPr>
      </w:pPr>
      <w:r>
        <w:rPr>
          <w:rFonts w:ascii="Arial" w:hAnsi="Arial"/>
          <w:sz w:val="24"/>
        </w:rPr>
        <w:t>Tél. : (709) 634-4171</w:t>
      </w:r>
    </w:p>
    <w:p w14:paraId="0BB2C7F8" w14:textId="6D8FB9BA" w:rsidR="00E42C97" w:rsidRDefault="00E42C97" w:rsidP="004C26F9">
      <w:pPr>
        <w:widowControl w:val="0"/>
        <w:autoSpaceDE w:val="0"/>
        <w:autoSpaceDN w:val="0"/>
        <w:adjustRightInd w:val="0"/>
        <w:spacing w:after="0" w:line="240" w:lineRule="auto"/>
        <w:ind w:left="20"/>
        <w:contextualSpacing/>
        <w:rPr>
          <w:rFonts w:ascii="Arial" w:hAnsi="Arial"/>
          <w:sz w:val="24"/>
        </w:rPr>
      </w:pPr>
      <w:r>
        <w:rPr>
          <w:rFonts w:ascii="Arial" w:hAnsi="Arial"/>
          <w:sz w:val="24"/>
        </w:rPr>
        <w:lastRenderedPageBreak/>
        <w:t xml:space="preserve">Courriel : </w:t>
      </w:r>
      <w:hyperlink r:id="rId15" w:history="1">
        <w:r w:rsidR="00492AC8" w:rsidRPr="00D27844">
          <w:rPr>
            <w:rStyle w:val="Hyperlink"/>
            <w:rFonts w:ascii="Arial" w:hAnsi="Arial"/>
            <w:sz w:val="24"/>
          </w:rPr>
          <w:t>tara.welsh@nlhealthservices.ca</w:t>
        </w:r>
      </w:hyperlink>
    </w:p>
    <w:p w14:paraId="5A7D2D46" w14:textId="77777777" w:rsidR="000D6A57" w:rsidRDefault="000D6A57" w:rsidP="004C26F9">
      <w:pPr>
        <w:widowControl w:val="0"/>
        <w:autoSpaceDE w:val="0"/>
        <w:autoSpaceDN w:val="0"/>
        <w:adjustRightInd w:val="0"/>
        <w:spacing w:after="0" w:line="240" w:lineRule="auto"/>
        <w:ind w:left="20"/>
        <w:contextualSpacing/>
        <w:rPr>
          <w:rFonts w:ascii="Arial" w:hAnsi="Arial"/>
          <w:sz w:val="24"/>
        </w:rPr>
      </w:pPr>
    </w:p>
    <w:p w14:paraId="7FCB40C9" w14:textId="77777777" w:rsidR="000D6A57" w:rsidRPr="000D6A57" w:rsidRDefault="000D6A57" w:rsidP="000D6A57">
      <w:pPr>
        <w:widowControl w:val="0"/>
        <w:autoSpaceDE w:val="0"/>
        <w:autoSpaceDN w:val="0"/>
        <w:adjustRightInd w:val="0"/>
        <w:spacing w:after="0" w:line="240" w:lineRule="auto"/>
        <w:ind w:left="20"/>
        <w:contextualSpacing/>
        <w:rPr>
          <w:rFonts w:asciiTheme="majorHAnsi" w:hAnsiTheme="majorHAnsi" w:cstheme="majorHAnsi"/>
          <w:sz w:val="24"/>
          <w:szCs w:val="24"/>
        </w:rPr>
      </w:pPr>
      <w:r w:rsidRPr="000D6A57">
        <w:rPr>
          <w:rFonts w:ascii="Arial" w:hAnsi="Arial"/>
          <w:sz w:val="24"/>
        </w:rPr>
        <w:t xml:space="preserve">William Lummis, </w:t>
      </w:r>
      <w:bookmarkStart w:id="1" w:name="_Hlk206145837"/>
      <w:r w:rsidRPr="000D6A57">
        <w:rPr>
          <w:rFonts w:asciiTheme="majorHAnsi" w:hAnsiTheme="majorHAnsi"/>
          <w:sz w:val="24"/>
        </w:rPr>
        <w:t>conseiller régional en prévention de la toxicomanie</w:t>
      </w:r>
      <w:bookmarkEnd w:id="1"/>
    </w:p>
    <w:p w14:paraId="338168D0" w14:textId="107ABC40" w:rsidR="000D6A57" w:rsidRPr="000D6A57" w:rsidRDefault="000D6A57" w:rsidP="000D6A57">
      <w:pPr>
        <w:widowControl w:val="0"/>
        <w:autoSpaceDE w:val="0"/>
        <w:autoSpaceDN w:val="0"/>
        <w:adjustRightInd w:val="0"/>
        <w:spacing w:after="0" w:line="240" w:lineRule="auto"/>
        <w:ind w:left="20"/>
        <w:contextualSpacing/>
        <w:rPr>
          <w:rFonts w:asciiTheme="majorHAnsi" w:hAnsiTheme="majorHAnsi" w:cstheme="majorHAnsi"/>
          <w:sz w:val="24"/>
          <w:szCs w:val="24"/>
        </w:rPr>
      </w:pPr>
      <w:r w:rsidRPr="000D6A57">
        <w:rPr>
          <w:rFonts w:asciiTheme="majorHAnsi" w:hAnsiTheme="majorHAnsi"/>
          <w:sz w:val="24"/>
        </w:rPr>
        <w:t>Tél. : (709) 752-4</w:t>
      </w:r>
      <w:r w:rsidR="000C6501">
        <w:rPr>
          <w:rFonts w:asciiTheme="majorHAnsi" w:hAnsiTheme="majorHAnsi"/>
          <w:sz w:val="24"/>
        </w:rPr>
        <w:t>927</w:t>
      </w:r>
    </w:p>
    <w:p w14:paraId="556150AF" w14:textId="284A71E2" w:rsidR="00492AC8" w:rsidRDefault="000D6A57" w:rsidP="000D6A57">
      <w:pPr>
        <w:widowControl w:val="0"/>
        <w:autoSpaceDE w:val="0"/>
        <w:autoSpaceDN w:val="0"/>
        <w:adjustRightInd w:val="0"/>
        <w:spacing w:after="0" w:line="240" w:lineRule="auto"/>
        <w:ind w:left="20"/>
        <w:contextualSpacing/>
        <w:rPr>
          <w:rFonts w:ascii="Arial" w:eastAsia="Times New Roman" w:hAnsi="Arial" w:cs="Arial"/>
          <w:color w:val="000000"/>
          <w:sz w:val="24"/>
          <w:szCs w:val="24"/>
          <w:lang w:val="en-US"/>
        </w:rPr>
      </w:pPr>
      <w:r w:rsidRPr="000D6A57">
        <w:rPr>
          <w:rFonts w:asciiTheme="majorHAnsi" w:hAnsiTheme="majorHAnsi"/>
          <w:sz w:val="24"/>
        </w:rPr>
        <w:t xml:space="preserve">Courriel : </w:t>
      </w:r>
      <w:hyperlink r:id="rId16" w:history="1">
        <w:r w:rsidR="00492AC8" w:rsidRPr="00D27844">
          <w:rPr>
            <w:rStyle w:val="Hyperlink"/>
            <w:rFonts w:ascii="Arial" w:eastAsia="Times New Roman" w:hAnsi="Arial" w:cs="Arial"/>
            <w:sz w:val="24"/>
            <w:szCs w:val="24"/>
            <w:lang w:val="en-US"/>
          </w:rPr>
          <w:t>williama.lummis@nlhealthservices.ca</w:t>
        </w:r>
      </w:hyperlink>
    </w:p>
    <w:p w14:paraId="666258C0" w14:textId="4AFFBF3F" w:rsidR="009D2930" w:rsidRPr="00492AC8" w:rsidRDefault="000D6A57" w:rsidP="00492AC8">
      <w:pPr>
        <w:widowControl w:val="0"/>
        <w:autoSpaceDE w:val="0"/>
        <w:autoSpaceDN w:val="0"/>
        <w:adjustRightInd w:val="0"/>
        <w:spacing w:after="0" w:line="240" w:lineRule="auto"/>
        <w:ind w:left="20"/>
        <w:contextualSpacing/>
        <w:rPr>
          <w:rFonts w:asciiTheme="majorHAnsi" w:hAnsiTheme="majorHAnsi" w:cstheme="majorHAnsi"/>
          <w:sz w:val="24"/>
          <w:szCs w:val="24"/>
        </w:rPr>
      </w:pPr>
      <w:r w:rsidRPr="000D6A57">
        <w:rPr>
          <w:rFonts w:asciiTheme="majorHAnsi" w:hAnsiTheme="majorHAnsi" w:cstheme="majorHAnsi"/>
          <w:sz w:val="24"/>
          <w:szCs w:val="24"/>
        </w:rPr>
        <w:t xml:space="preserve"> </w:t>
      </w:r>
    </w:p>
    <w:p w14:paraId="093770A1" w14:textId="45B8DA44" w:rsidR="00E42C97" w:rsidRPr="009E3858" w:rsidRDefault="00ED2265" w:rsidP="004C26F9">
      <w:pPr>
        <w:widowControl w:val="0"/>
        <w:autoSpaceDE w:val="0"/>
        <w:autoSpaceDN w:val="0"/>
        <w:adjustRightInd w:val="0"/>
        <w:spacing w:after="0" w:line="240" w:lineRule="auto"/>
        <w:contextualSpacing/>
        <w:rPr>
          <w:rFonts w:ascii="Arial" w:hAnsi="Arial" w:cs="Arial"/>
          <w:sz w:val="24"/>
          <w:szCs w:val="24"/>
        </w:rPr>
      </w:pPr>
      <w:r>
        <w:rPr>
          <w:rFonts w:ascii="Arial" w:hAnsi="Arial"/>
          <w:b/>
          <w:sz w:val="24"/>
        </w:rPr>
        <w:t>Zone du Centre</w:t>
      </w:r>
    </w:p>
    <w:p w14:paraId="26DC8645" w14:textId="5F9A477B" w:rsidR="00E42C97" w:rsidRPr="009E3858" w:rsidRDefault="00E42C97" w:rsidP="004C26F9">
      <w:pPr>
        <w:widowControl w:val="0"/>
        <w:autoSpaceDE w:val="0"/>
        <w:autoSpaceDN w:val="0"/>
        <w:adjustRightInd w:val="0"/>
        <w:spacing w:after="0" w:line="240" w:lineRule="auto"/>
        <w:contextualSpacing/>
        <w:rPr>
          <w:rFonts w:ascii="Arial" w:hAnsi="Arial" w:cs="Arial"/>
          <w:sz w:val="24"/>
          <w:szCs w:val="24"/>
        </w:rPr>
      </w:pPr>
      <w:r>
        <w:rPr>
          <w:rFonts w:ascii="Arial" w:hAnsi="Arial"/>
          <w:sz w:val="24"/>
        </w:rPr>
        <w:t xml:space="preserve">Laura Vardy, conseillère régionale en promotion de la santé mentale </w:t>
      </w:r>
    </w:p>
    <w:p w14:paraId="66DD7CA0" w14:textId="0FAAEEC0" w:rsidR="00E42C97" w:rsidRPr="009E3858" w:rsidRDefault="00E42C97" w:rsidP="004C26F9">
      <w:pPr>
        <w:widowControl w:val="0"/>
        <w:autoSpaceDE w:val="0"/>
        <w:autoSpaceDN w:val="0"/>
        <w:adjustRightInd w:val="0"/>
        <w:spacing w:after="0" w:line="240" w:lineRule="auto"/>
        <w:contextualSpacing/>
        <w:rPr>
          <w:rFonts w:ascii="Arial" w:hAnsi="Arial" w:cs="Arial"/>
          <w:sz w:val="24"/>
          <w:szCs w:val="24"/>
        </w:rPr>
      </w:pPr>
      <w:r>
        <w:rPr>
          <w:rFonts w:ascii="Arial" w:hAnsi="Arial"/>
          <w:sz w:val="24"/>
        </w:rPr>
        <w:t>Tél. : (709) 489-4181</w:t>
      </w:r>
    </w:p>
    <w:p w14:paraId="3B7676FB" w14:textId="3EA5D24F" w:rsidR="00E42C97" w:rsidRDefault="00E42C97" w:rsidP="004C26F9">
      <w:pPr>
        <w:widowControl w:val="0"/>
        <w:autoSpaceDE w:val="0"/>
        <w:autoSpaceDN w:val="0"/>
        <w:adjustRightInd w:val="0"/>
        <w:spacing w:after="0" w:line="240" w:lineRule="auto"/>
        <w:contextualSpacing/>
        <w:rPr>
          <w:rFonts w:ascii="Arial" w:hAnsi="Arial"/>
          <w:sz w:val="24"/>
        </w:rPr>
      </w:pPr>
      <w:r>
        <w:rPr>
          <w:rFonts w:ascii="Arial" w:hAnsi="Arial"/>
          <w:sz w:val="24"/>
        </w:rPr>
        <w:t xml:space="preserve">Courriel : </w:t>
      </w:r>
      <w:hyperlink r:id="rId17" w:history="1">
        <w:r w:rsidR="000C6501" w:rsidRPr="008817AE">
          <w:rPr>
            <w:rStyle w:val="Hyperlink"/>
            <w:rFonts w:ascii="Arial" w:hAnsi="Arial"/>
            <w:sz w:val="24"/>
          </w:rPr>
          <w:t>lauraM.vardy@nlhealthservices.ca</w:t>
        </w:r>
      </w:hyperlink>
    </w:p>
    <w:p w14:paraId="63EA1573" w14:textId="77777777" w:rsidR="00FE0581" w:rsidRDefault="00FE0581" w:rsidP="004C26F9">
      <w:pPr>
        <w:widowControl w:val="0"/>
        <w:autoSpaceDE w:val="0"/>
        <w:autoSpaceDN w:val="0"/>
        <w:adjustRightInd w:val="0"/>
        <w:spacing w:after="0" w:line="240" w:lineRule="auto"/>
        <w:contextualSpacing/>
        <w:rPr>
          <w:rFonts w:ascii="Arial" w:hAnsi="Arial" w:cs="Arial"/>
          <w:sz w:val="24"/>
          <w:szCs w:val="24"/>
        </w:rPr>
      </w:pPr>
    </w:p>
    <w:p w14:paraId="3012C969" w14:textId="7814B4BD" w:rsidR="00E42C97" w:rsidRPr="00FE437A" w:rsidRDefault="00ED2265" w:rsidP="004C26F9">
      <w:pPr>
        <w:widowControl w:val="0"/>
        <w:autoSpaceDE w:val="0"/>
        <w:autoSpaceDN w:val="0"/>
        <w:adjustRightInd w:val="0"/>
        <w:spacing w:after="0" w:line="240" w:lineRule="auto"/>
        <w:ind w:left="20"/>
        <w:contextualSpacing/>
        <w:rPr>
          <w:rFonts w:ascii="Times New Roman" w:hAnsi="Times New Roman" w:cs="Times New Roman"/>
          <w:sz w:val="24"/>
          <w:szCs w:val="24"/>
        </w:rPr>
      </w:pPr>
      <w:r w:rsidRPr="00FE437A">
        <w:rPr>
          <w:rFonts w:ascii="Arial" w:hAnsi="Arial"/>
          <w:b/>
          <w:sz w:val="24"/>
        </w:rPr>
        <w:t>Zone</w:t>
      </w:r>
      <w:r w:rsidR="0012427C" w:rsidRPr="00FE437A">
        <w:rPr>
          <w:rFonts w:ascii="Arial" w:hAnsi="Arial"/>
          <w:b/>
          <w:sz w:val="24"/>
        </w:rPr>
        <w:t xml:space="preserve"> de l’</w:t>
      </w:r>
      <w:r w:rsidRPr="00FE437A">
        <w:rPr>
          <w:rFonts w:ascii="Arial" w:hAnsi="Arial"/>
          <w:b/>
          <w:sz w:val="24"/>
        </w:rPr>
        <w:t>Est</w:t>
      </w:r>
    </w:p>
    <w:p w14:paraId="454AD911" w14:textId="0FFD127A" w:rsidR="00E42C97" w:rsidRPr="000D6A57" w:rsidRDefault="00171F8D" w:rsidP="004C26F9">
      <w:pPr>
        <w:widowControl w:val="0"/>
        <w:autoSpaceDE w:val="0"/>
        <w:autoSpaceDN w:val="0"/>
        <w:adjustRightInd w:val="0"/>
        <w:spacing w:after="0" w:line="240" w:lineRule="auto"/>
        <w:ind w:left="20"/>
        <w:contextualSpacing/>
        <w:rPr>
          <w:rFonts w:ascii="Arial" w:hAnsi="Arial" w:cs="Arial"/>
          <w:sz w:val="24"/>
          <w:szCs w:val="24"/>
        </w:rPr>
      </w:pPr>
      <w:r w:rsidRPr="000D6A57">
        <w:rPr>
          <w:rFonts w:ascii="Arial" w:hAnsi="Arial"/>
          <w:sz w:val="24"/>
        </w:rPr>
        <w:t xml:space="preserve">Bailey Reid, </w:t>
      </w:r>
      <w:bookmarkStart w:id="2" w:name="_Hlk204942389"/>
      <w:r w:rsidRPr="000D6A57">
        <w:rPr>
          <w:rFonts w:ascii="Arial" w:hAnsi="Arial"/>
          <w:sz w:val="24"/>
        </w:rPr>
        <w:t xml:space="preserve">conseillère en promotion de la santé mentale </w:t>
      </w:r>
      <w:bookmarkEnd w:id="2"/>
    </w:p>
    <w:p w14:paraId="2BC8558B" w14:textId="4E5F1AF3" w:rsidR="00E42C97" w:rsidRPr="000D6A57" w:rsidRDefault="00E42C97" w:rsidP="004C26F9">
      <w:pPr>
        <w:widowControl w:val="0"/>
        <w:autoSpaceDE w:val="0"/>
        <w:autoSpaceDN w:val="0"/>
        <w:adjustRightInd w:val="0"/>
        <w:spacing w:after="0" w:line="240" w:lineRule="auto"/>
        <w:ind w:left="20"/>
        <w:contextualSpacing/>
        <w:rPr>
          <w:rFonts w:ascii="Times New Roman" w:hAnsi="Times New Roman" w:cs="Times New Roman"/>
          <w:sz w:val="24"/>
          <w:szCs w:val="24"/>
        </w:rPr>
      </w:pPr>
      <w:r w:rsidRPr="000D6A57">
        <w:rPr>
          <w:rFonts w:ascii="Arial" w:hAnsi="Arial"/>
          <w:sz w:val="24"/>
        </w:rPr>
        <w:t>Tél. : (709) 752-4</w:t>
      </w:r>
      <w:r w:rsidR="00492AC8">
        <w:rPr>
          <w:rFonts w:ascii="Arial" w:hAnsi="Arial"/>
          <w:sz w:val="24"/>
        </w:rPr>
        <w:t>282</w:t>
      </w:r>
    </w:p>
    <w:p w14:paraId="3F8670B1" w14:textId="12300374" w:rsidR="00E42C97" w:rsidRDefault="00E42C97" w:rsidP="004C26F9">
      <w:pPr>
        <w:widowControl w:val="0"/>
        <w:autoSpaceDE w:val="0"/>
        <w:autoSpaceDN w:val="0"/>
        <w:adjustRightInd w:val="0"/>
        <w:spacing w:after="0" w:line="240" w:lineRule="auto"/>
        <w:ind w:left="20"/>
        <w:contextualSpacing/>
        <w:rPr>
          <w:rFonts w:ascii="Arial" w:hAnsi="Arial"/>
          <w:sz w:val="24"/>
        </w:rPr>
      </w:pPr>
      <w:bookmarkStart w:id="3" w:name="_Hlk204942622"/>
      <w:r w:rsidRPr="000D6A57">
        <w:rPr>
          <w:rFonts w:ascii="Arial" w:hAnsi="Arial"/>
          <w:sz w:val="24"/>
        </w:rPr>
        <w:t>Courriel</w:t>
      </w:r>
      <w:bookmarkEnd w:id="3"/>
      <w:r w:rsidRPr="000D6A57">
        <w:rPr>
          <w:rFonts w:ascii="Arial" w:hAnsi="Arial"/>
          <w:sz w:val="24"/>
        </w:rPr>
        <w:t xml:space="preserve"> : </w:t>
      </w:r>
      <w:hyperlink r:id="rId18" w:history="1">
        <w:r w:rsidR="00492AC8" w:rsidRPr="00D27844">
          <w:rPr>
            <w:rStyle w:val="Hyperlink"/>
            <w:rFonts w:ascii="Arial" w:hAnsi="Arial"/>
            <w:sz w:val="24"/>
          </w:rPr>
          <w:t>bailey.reid@nlhealthservices.ca</w:t>
        </w:r>
      </w:hyperlink>
    </w:p>
    <w:p w14:paraId="405ACA8B" w14:textId="77777777" w:rsidR="000D6A57" w:rsidRDefault="000D6A57" w:rsidP="004C26F9">
      <w:pPr>
        <w:widowControl w:val="0"/>
        <w:autoSpaceDE w:val="0"/>
        <w:autoSpaceDN w:val="0"/>
        <w:adjustRightInd w:val="0"/>
        <w:spacing w:after="0" w:line="240" w:lineRule="auto"/>
        <w:ind w:left="20"/>
        <w:contextualSpacing/>
      </w:pPr>
    </w:p>
    <w:p w14:paraId="79A78018" w14:textId="5007FFF6" w:rsidR="000D6A57" w:rsidRPr="000D6A57" w:rsidRDefault="000D6A57" w:rsidP="000D6A57">
      <w:pPr>
        <w:widowControl w:val="0"/>
        <w:autoSpaceDE w:val="0"/>
        <w:autoSpaceDN w:val="0"/>
        <w:adjustRightInd w:val="0"/>
        <w:spacing w:after="0" w:line="240" w:lineRule="auto"/>
        <w:contextualSpacing/>
        <w:rPr>
          <w:rFonts w:ascii="Arial" w:eastAsia="Times New Roman" w:hAnsi="Arial" w:cs="Arial"/>
          <w:color w:val="000000"/>
          <w:sz w:val="24"/>
          <w:szCs w:val="24"/>
          <w:lang w:val="en-US"/>
        </w:rPr>
      </w:pPr>
      <w:r w:rsidRPr="000D6A57">
        <w:rPr>
          <w:rFonts w:ascii="Arial" w:eastAsia="Times New Roman" w:hAnsi="Arial" w:cs="Arial"/>
          <w:color w:val="000000"/>
          <w:sz w:val="24"/>
          <w:szCs w:val="24"/>
          <w:lang w:val="en-US"/>
        </w:rPr>
        <w:t xml:space="preserve">Kayla Prosper, </w:t>
      </w:r>
      <w:r w:rsidRPr="000D6A57">
        <w:rPr>
          <w:rFonts w:ascii="Arial" w:eastAsia="Times New Roman" w:hAnsi="Arial" w:cs="Arial"/>
          <w:color w:val="000000"/>
          <w:sz w:val="24"/>
          <w:szCs w:val="24"/>
        </w:rPr>
        <w:t xml:space="preserve">conseillère en promotion de la santé mentale </w:t>
      </w:r>
    </w:p>
    <w:p w14:paraId="29EA1806" w14:textId="1908183C" w:rsidR="000D6A57" w:rsidRPr="000D6A57" w:rsidRDefault="000D6A57" w:rsidP="000D6A57">
      <w:pPr>
        <w:widowControl w:val="0"/>
        <w:autoSpaceDE w:val="0"/>
        <w:autoSpaceDN w:val="0"/>
        <w:adjustRightInd w:val="0"/>
        <w:spacing w:after="0" w:line="240" w:lineRule="auto"/>
        <w:contextualSpacing/>
        <w:rPr>
          <w:rFonts w:ascii="Arial" w:eastAsia="Times New Roman" w:hAnsi="Arial" w:cs="Arial"/>
          <w:color w:val="000000"/>
          <w:sz w:val="24"/>
          <w:szCs w:val="24"/>
          <w:lang w:val="en-US"/>
        </w:rPr>
      </w:pPr>
      <w:r w:rsidRPr="000D6A57">
        <w:rPr>
          <w:rFonts w:ascii="Arial" w:eastAsia="Times New Roman" w:hAnsi="Arial" w:cs="Arial"/>
          <w:color w:val="000000"/>
          <w:sz w:val="24"/>
          <w:szCs w:val="24"/>
        </w:rPr>
        <w:t>Tél. </w:t>
      </w:r>
      <w:r w:rsidRPr="000D6A57">
        <w:rPr>
          <w:rFonts w:ascii="Arial" w:eastAsia="Times New Roman" w:hAnsi="Arial" w:cs="Arial"/>
          <w:color w:val="000000"/>
          <w:sz w:val="24"/>
          <w:szCs w:val="24"/>
          <w:lang w:val="en-US"/>
        </w:rPr>
        <w:t>: (709) 752-4282</w:t>
      </w:r>
    </w:p>
    <w:p w14:paraId="14A86909" w14:textId="6BF927E6" w:rsidR="000D6A57" w:rsidRDefault="000D6A57" w:rsidP="000D6A57">
      <w:pPr>
        <w:widowControl w:val="0"/>
        <w:autoSpaceDE w:val="0"/>
        <w:autoSpaceDN w:val="0"/>
        <w:adjustRightInd w:val="0"/>
        <w:spacing w:after="0" w:line="240" w:lineRule="auto"/>
        <w:contextualSpacing/>
        <w:rPr>
          <w:rFonts w:ascii="Arial" w:eastAsia="Times New Roman" w:hAnsi="Arial" w:cs="Arial"/>
          <w:color w:val="000000"/>
          <w:sz w:val="24"/>
          <w:szCs w:val="24"/>
          <w:lang w:val="en-US"/>
        </w:rPr>
      </w:pPr>
      <w:r w:rsidRPr="000D6A57">
        <w:rPr>
          <w:rFonts w:ascii="Arial" w:hAnsi="Arial"/>
          <w:sz w:val="24"/>
        </w:rPr>
        <w:t>Courriel</w:t>
      </w:r>
      <w:r w:rsidRPr="000D6A57">
        <w:rPr>
          <w:rFonts w:ascii="Arial" w:eastAsia="Times New Roman" w:hAnsi="Arial" w:cs="Arial"/>
          <w:color w:val="000000"/>
          <w:sz w:val="24"/>
          <w:szCs w:val="24"/>
          <w:lang w:val="en-US"/>
        </w:rPr>
        <w:t xml:space="preserve">: </w:t>
      </w:r>
      <w:hyperlink r:id="rId19" w:history="1">
        <w:r w:rsidR="00492AC8" w:rsidRPr="00D27844">
          <w:rPr>
            <w:rStyle w:val="Hyperlink"/>
            <w:rFonts w:ascii="Arial" w:eastAsia="Times New Roman" w:hAnsi="Arial" w:cs="Arial"/>
            <w:sz w:val="24"/>
            <w:szCs w:val="24"/>
            <w:lang w:val="en-US"/>
          </w:rPr>
          <w:t>kayla.prosper@nlhealthservices.ca</w:t>
        </w:r>
      </w:hyperlink>
    </w:p>
    <w:p w14:paraId="1B5AABF9" w14:textId="77777777" w:rsidR="00492AC8" w:rsidRDefault="00492AC8" w:rsidP="000D6A57">
      <w:pPr>
        <w:widowControl w:val="0"/>
        <w:autoSpaceDE w:val="0"/>
        <w:autoSpaceDN w:val="0"/>
        <w:adjustRightInd w:val="0"/>
        <w:spacing w:after="0" w:line="240" w:lineRule="auto"/>
        <w:contextualSpacing/>
        <w:rPr>
          <w:rFonts w:ascii="Arial" w:eastAsia="Times New Roman" w:hAnsi="Arial" w:cs="Arial"/>
          <w:color w:val="000000"/>
          <w:sz w:val="24"/>
          <w:szCs w:val="24"/>
          <w:lang w:val="en-US"/>
        </w:rPr>
      </w:pPr>
    </w:p>
    <w:p w14:paraId="42821BE5" w14:textId="520C2D7B" w:rsidR="00492AC8" w:rsidRPr="00492AC8" w:rsidRDefault="00492AC8" w:rsidP="00492AC8">
      <w:pPr>
        <w:widowControl w:val="0"/>
        <w:autoSpaceDE w:val="0"/>
        <w:autoSpaceDN w:val="0"/>
        <w:adjustRightInd w:val="0"/>
        <w:spacing w:after="0" w:line="240" w:lineRule="auto"/>
        <w:contextualSpacing/>
        <w:rPr>
          <w:rFonts w:ascii="Arial" w:eastAsia="Times New Roman" w:hAnsi="Arial" w:cs="Arial"/>
          <w:color w:val="000000"/>
          <w:sz w:val="24"/>
          <w:szCs w:val="24"/>
          <w:lang w:val="en-US"/>
        </w:rPr>
      </w:pPr>
      <w:r>
        <w:rPr>
          <w:rFonts w:ascii="Arial" w:eastAsia="Times New Roman" w:hAnsi="Arial" w:cs="Arial"/>
          <w:color w:val="000000"/>
          <w:sz w:val="24"/>
          <w:szCs w:val="24"/>
          <w:lang w:val="en-US"/>
        </w:rPr>
        <w:t>Gaia Rezori</w:t>
      </w:r>
      <w:r w:rsidRPr="00492AC8">
        <w:rPr>
          <w:rFonts w:ascii="Arial" w:eastAsia="Times New Roman" w:hAnsi="Arial" w:cs="Arial"/>
          <w:color w:val="000000"/>
          <w:sz w:val="24"/>
          <w:szCs w:val="24"/>
          <w:lang w:val="en-US"/>
        </w:rPr>
        <w:t xml:space="preserve">, </w:t>
      </w:r>
      <w:r w:rsidR="003A0DDF" w:rsidRPr="003A0DDF">
        <w:rPr>
          <w:rFonts w:ascii="Arial" w:eastAsia="Times New Roman" w:hAnsi="Arial" w:cs="Arial"/>
          <w:color w:val="000000"/>
          <w:sz w:val="24"/>
          <w:szCs w:val="24"/>
        </w:rPr>
        <w:t>conseiller régional en prévention de la toxicomanie</w:t>
      </w:r>
    </w:p>
    <w:p w14:paraId="1474E5A7" w14:textId="77777777" w:rsidR="00492AC8" w:rsidRPr="00492AC8" w:rsidRDefault="00492AC8" w:rsidP="00492AC8">
      <w:pPr>
        <w:widowControl w:val="0"/>
        <w:autoSpaceDE w:val="0"/>
        <w:autoSpaceDN w:val="0"/>
        <w:adjustRightInd w:val="0"/>
        <w:spacing w:after="0" w:line="240" w:lineRule="auto"/>
        <w:contextualSpacing/>
        <w:rPr>
          <w:rFonts w:ascii="Arial" w:eastAsia="Times New Roman" w:hAnsi="Arial" w:cs="Arial"/>
          <w:color w:val="000000"/>
          <w:sz w:val="24"/>
          <w:szCs w:val="24"/>
          <w:lang w:val="en-US"/>
        </w:rPr>
      </w:pPr>
      <w:r w:rsidRPr="00492AC8">
        <w:rPr>
          <w:rFonts w:ascii="Arial" w:eastAsia="Times New Roman" w:hAnsi="Arial" w:cs="Arial"/>
          <w:color w:val="000000"/>
          <w:sz w:val="24"/>
          <w:szCs w:val="24"/>
        </w:rPr>
        <w:t>Tél. </w:t>
      </w:r>
      <w:r w:rsidRPr="00492AC8">
        <w:rPr>
          <w:rFonts w:ascii="Arial" w:eastAsia="Times New Roman" w:hAnsi="Arial" w:cs="Arial"/>
          <w:color w:val="000000"/>
          <w:sz w:val="24"/>
          <w:szCs w:val="24"/>
          <w:lang w:val="en-US"/>
        </w:rPr>
        <w:t>: (709) 752-4282</w:t>
      </w:r>
    </w:p>
    <w:p w14:paraId="6E6C9A4B" w14:textId="088565D1" w:rsidR="00492AC8" w:rsidRDefault="00492AC8" w:rsidP="00492AC8">
      <w:pPr>
        <w:widowControl w:val="0"/>
        <w:autoSpaceDE w:val="0"/>
        <w:autoSpaceDN w:val="0"/>
        <w:adjustRightInd w:val="0"/>
        <w:spacing w:after="0" w:line="240" w:lineRule="auto"/>
        <w:contextualSpacing/>
        <w:rPr>
          <w:rFonts w:ascii="Arial" w:eastAsia="Times New Roman" w:hAnsi="Arial" w:cs="Arial"/>
          <w:color w:val="000000"/>
          <w:sz w:val="24"/>
          <w:szCs w:val="24"/>
          <w:lang w:val="en-US"/>
        </w:rPr>
      </w:pPr>
      <w:r w:rsidRPr="00492AC8">
        <w:rPr>
          <w:rFonts w:ascii="Arial" w:eastAsia="Times New Roman" w:hAnsi="Arial" w:cs="Arial"/>
          <w:color w:val="000000"/>
          <w:sz w:val="24"/>
          <w:szCs w:val="24"/>
        </w:rPr>
        <w:t>Courriel</w:t>
      </w:r>
      <w:r w:rsidRPr="00492AC8">
        <w:rPr>
          <w:rFonts w:ascii="Arial" w:eastAsia="Times New Roman" w:hAnsi="Arial" w:cs="Arial"/>
          <w:color w:val="000000"/>
          <w:sz w:val="24"/>
          <w:szCs w:val="24"/>
          <w:lang w:val="en-US"/>
        </w:rPr>
        <w:t xml:space="preserve">: </w:t>
      </w:r>
      <w:hyperlink r:id="rId20" w:history="1">
        <w:r w:rsidRPr="00D27844">
          <w:rPr>
            <w:rStyle w:val="Hyperlink"/>
            <w:rFonts w:ascii="Arial" w:eastAsia="Times New Roman" w:hAnsi="Arial" w:cs="Arial"/>
            <w:sz w:val="24"/>
            <w:szCs w:val="24"/>
            <w:lang w:val="en-US"/>
          </w:rPr>
          <w:t>Gaia.Rezori@nlhealthservices.ca</w:t>
        </w:r>
      </w:hyperlink>
    </w:p>
    <w:p w14:paraId="648B77A4" w14:textId="77777777" w:rsidR="00492AC8" w:rsidRPr="00492AC8" w:rsidRDefault="00492AC8" w:rsidP="00492AC8">
      <w:pPr>
        <w:widowControl w:val="0"/>
        <w:autoSpaceDE w:val="0"/>
        <w:autoSpaceDN w:val="0"/>
        <w:adjustRightInd w:val="0"/>
        <w:spacing w:after="0" w:line="240" w:lineRule="auto"/>
        <w:contextualSpacing/>
        <w:rPr>
          <w:rFonts w:ascii="Arial" w:eastAsia="Times New Roman" w:hAnsi="Arial" w:cs="Arial"/>
          <w:color w:val="000000"/>
          <w:sz w:val="24"/>
          <w:szCs w:val="24"/>
          <w:lang w:val="en-US"/>
        </w:rPr>
      </w:pPr>
    </w:p>
    <w:p w14:paraId="3AD6A1F1" w14:textId="77777777" w:rsidR="000D6A57" w:rsidRDefault="000D6A57" w:rsidP="00D2257B">
      <w:pPr>
        <w:widowControl w:val="0"/>
        <w:autoSpaceDE w:val="0"/>
        <w:autoSpaceDN w:val="0"/>
        <w:adjustRightInd w:val="0"/>
        <w:spacing w:after="0" w:line="240" w:lineRule="auto"/>
        <w:contextualSpacing/>
        <w:rPr>
          <w:rStyle w:val="Hyperlink"/>
          <w:rFonts w:ascii="Arial" w:hAnsi="Arial" w:cs="Arial"/>
          <w:sz w:val="24"/>
          <w:szCs w:val="24"/>
        </w:rPr>
      </w:pPr>
    </w:p>
    <w:p w14:paraId="6A75581B" w14:textId="77777777" w:rsidR="00F246FA" w:rsidRPr="00820DB8" w:rsidRDefault="00F246FA" w:rsidP="004C26F9">
      <w:pPr>
        <w:widowControl w:val="0"/>
        <w:autoSpaceDE w:val="0"/>
        <w:autoSpaceDN w:val="0"/>
        <w:adjustRightInd w:val="0"/>
        <w:spacing w:after="0" w:line="240" w:lineRule="auto"/>
        <w:ind w:left="20"/>
        <w:contextualSpacing/>
        <w:rPr>
          <w:rFonts w:ascii="Arial" w:hAnsi="Arial" w:cs="Arial"/>
          <w:sz w:val="24"/>
          <w:szCs w:val="24"/>
          <w:highlight w:val="yellow"/>
        </w:rPr>
      </w:pPr>
    </w:p>
    <w:p w14:paraId="5971334D" w14:textId="77777777" w:rsidR="009E3858" w:rsidRPr="009E3858" w:rsidRDefault="009E3858" w:rsidP="00AE1C01">
      <w:pPr>
        <w:rPr>
          <w:rFonts w:asciiTheme="majorHAnsi" w:hAnsiTheme="majorHAnsi" w:cstheme="majorHAnsi"/>
          <w:sz w:val="24"/>
          <w:szCs w:val="24"/>
        </w:rPr>
      </w:pPr>
    </w:p>
    <w:p w14:paraId="6AF182DA" w14:textId="77777777" w:rsidR="009E3858" w:rsidRPr="009E3858" w:rsidRDefault="009E3858" w:rsidP="00AE1C01">
      <w:pPr>
        <w:rPr>
          <w:rFonts w:asciiTheme="majorHAnsi" w:hAnsiTheme="majorHAnsi" w:cstheme="majorHAnsi"/>
          <w:sz w:val="24"/>
          <w:szCs w:val="24"/>
        </w:rPr>
      </w:pPr>
    </w:p>
    <w:p w14:paraId="04A88C10" w14:textId="77777777" w:rsidR="009E3858" w:rsidRPr="009E3858" w:rsidRDefault="009E3858" w:rsidP="00AE1C01">
      <w:pPr>
        <w:rPr>
          <w:rFonts w:asciiTheme="majorHAnsi" w:hAnsiTheme="majorHAnsi" w:cstheme="majorHAnsi"/>
          <w:sz w:val="24"/>
          <w:szCs w:val="24"/>
        </w:rPr>
      </w:pPr>
    </w:p>
    <w:p w14:paraId="3B323014" w14:textId="77777777" w:rsidR="009E3858" w:rsidRPr="009E3858" w:rsidRDefault="009E3858" w:rsidP="00AE1C01">
      <w:pPr>
        <w:rPr>
          <w:rFonts w:asciiTheme="majorHAnsi" w:hAnsiTheme="majorHAnsi" w:cstheme="majorHAnsi"/>
          <w:sz w:val="24"/>
          <w:szCs w:val="24"/>
        </w:rPr>
      </w:pPr>
    </w:p>
    <w:p w14:paraId="20E08DFE" w14:textId="77777777" w:rsidR="009E3858" w:rsidRPr="009E3858" w:rsidRDefault="009E3858" w:rsidP="00AE1C01">
      <w:pPr>
        <w:rPr>
          <w:rFonts w:asciiTheme="majorHAnsi" w:hAnsiTheme="majorHAnsi" w:cstheme="majorHAnsi"/>
          <w:sz w:val="24"/>
          <w:szCs w:val="24"/>
        </w:rPr>
      </w:pPr>
    </w:p>
    <w:p w14:paraId="541BDF15" w14:textId="77777777" w:rsidR="009E3858" w:rsidRPr="009E3858" w:rsidRDefault="009E3858" w:rsidP="00AE1C01">
      <w:pPr>
        <w:rPr>
          <w:rFonts w:asciiTheme="majorHAnsi" w:hAnsiTheme="majorHAnsi" w:cstheme="majorHAnsi"/>
          <w:sz w:val="24"/>
          <w:szCs w:val="24"/>
        </w:rPr>
      </w:pPr>
    </w:p>
    <w:p w14:paraId="4D2B3454" w14:textId="77777777" w:rsidR="009E3858" w:rsidRPr="009E3858" w:rsidRDefault="009E3858" w:rsidP="00AE1C01">
      <w:pPr>
        <w:rPr>
          <w:rFonts w:asciiTheme="majorHAnsi" w:hAnsiTheme="majorHAnsi" w:cstheme="majorHAnsi"/>
          <w:sz w:val="24"/>
          <w:szCs w:val="24"/>
        </w:rPr>
      </w:pPr>
    </w:p>
    <w:p w14:paraId="01596378" w14:textId="77777777" w:rsidR="009E3858" w:rsidRPr="009E3858" w:rsidRDefault="009E3858" w:rsidP="00AE1C01">
      <w:pPr>
        <w:rPr>
          <w:rFonts w:asciiTheme="majorHAnsi" w:hAnsiTheme="majorHAnsi" w:cstheme="majorHAnsi"/>
          <w:sz w:val="24"/>
          <w:szCs w:val="24"/>
        </w:rPr>
      </w:pPr>
    </w:p>
    <w:p w14:paraId="6CE7F88C" w14:textId="77777777" w:rsidR="009E3858" w:rsidRPr="009E3858" w:rsidRDefault="009E3858" w:rsidP="00AE1C01">
      <w:pPr>
        <w:rPr>
          <w:rFonts w:asciiTheme="majorHAnsi" w:hAnsiTheme="majorHAnsi" w:cstheme="majorHAnsi"/>
          <w:sz w:val="24"/>
          <w:szCs w:val="24"/>
        </w:rPr>
      </w:pPr>
    </w:p>
    <w:p w14:paraId="4B4DFC4E" w14:textId="77777777" w:rsidR="009E3858" w:rsidRPr="009E3858" w:rsidRDefault="009E3858" w:rsidP="00AE1C01">
      <w:pPr>
        <w:rPr>
          <w:rFonts w:asciiTheme="majorHAnsi" w:hAnsiTheme="majorHAnsi" w:cstheme="majorHAnsi"/>
          <w:sz w:val="24"/>
          <w:szCs w:val="24"/>
        </w:rPr>
      </w:pPr>
    </w:p>
    <w:p w14:paraId="13F915B5" w14:textId="77777777" w:rsidR="009E3858" w:rsidRDefault="009E3858" w:rsidP="009E3858">
      <w:pPr>
        <w:rPr>
          <w:rFonts w:asciiTheme="majorHAnsi" w:hAnsiTheme="majorHAnsi" w:cstheme="majorHAnsi"/>
          <w:sz w:val="24"/>
          <w:szCs w:val="24"/>
        </w:rPr>
      </w:pPr>
    </w:p>
    <w:sectPr w:rsidR="009E385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5DD1" w14:textId="77777777" w:rsidR="00550238" w:rsidRDefault="00550238">
      <w:pPr>
        <w:spacing w:after="0" w:line="240" w:lineRule="auto"/>
      </w:pPr>
      <w:r>
        <w:separator/>
      </w:r>
    </w:p>
  </w:endnote>
  <w:endnote w:type="continuationSeparator" w:id="0">
    <w:p w14:paraId="63648A58" w14:textId="77777777" w:rsidR="00550238" w:rsidRDefault="0055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A38F" w14:textId="77777777" w:rsidR="007E314D" w:rsidRDefault="007E3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265123"/>
      <w:docPartObj>
        <w:docPartGallery w:val="Page Numbers (Bottom of Page)"/>
        <w:docPartUnique/>
      </w:docPartObj>
    </w:sdtPr>
    <w:sdtEndPr>
      <w:rPr>
        <w:rFonts w:ascii="Arial" w:hAnsi="Arial" w:cs="Arial"/>
        <w:noProof/>
      </w:rPr>
    </w:sdtEndPr>
    <w:sdtContent>
      <w:p w14:paraId="39885B08" w14:textId="536AFF83" w:rsidR="000B1286" w:rsidRPr="00966A7F" w:rsidRDefault="00B54382">
        <w:pPr>
          <w:pStyle w:val="Footer"/>
          <w:jc w:val="right"/>
          <w:rPr>
            <w:rFonts w:ascii="Arial" w:hAnsi="Arial" w:cs="Arial"/>
          </w:rPr>
        </w:pPr>
        <w:r>
          <w:fldChar w:fldCharType="begin"/>
        </w:r>
        <w:r>
          <w:instrText xml:space="preserve"> PAGE   \* MERGEFORMAT </w:instrText>
        </w:r>
        <w:r>
          <w:fldChar w:fldCharType="separate"/>
        </w:r>
        <w:r w:rsidR="009D78E9" w:rsidRPr="009D78E9">
          <w:rPr>
            <w:rFonts w:ascii="Arial" w:hAnsi="Arial" w:cs="Arial"/>
          </w:rPr>
          <w:t>6</w:t>
        </w:r>
        <w:r>
          <w:rPr>
            <w:rFonts w:ascii="Arial" w:hAnsi="Arial" w:cs="Arial"/>
          </w:rPr>
          <w:fldChar w:fldCharType="end"/>
        </w:r>
      </w:p>
    </w:sdtContent>
  </w:sdt>
  <w:p w14:paraId="3F190E69" w14:textId="77777777" w:rsidR="000B1286" w:rsidRDefault="000B1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DDDE" w14:textId="77777777" w:rsidR="007E314D" w:rsidRDefault="007E3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AEFF" w14:textId="77777777" w:rsidR="00550238" w:rsidRDefault="00550238">
      <w:pPr>
        <w:spacing w:after="0" w:line="240" w:lineRule="auto"/>
      </w:pPr>
      <w:r>
        <w:separator/>
      </w:r>
    </w:p>
  </w:footnote>
  <w:footnote w:type="continuationSeparator" w:id="0">
    <w:p w14:paraId="24B6E45F" w14:textId="77777777" w:rsidR="00550238" w:rsidRDefault="00550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DB44" w14:textId="77777777" w:rsidR="007E314D" w:rsidRDefault="007E3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469B" w14:textId="77777777" w:rsidR="007E314D" w:rsidRDefault="007E3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BCD0" w14:textId="77777777" w:rsidR="007E314D" w:rsidRDefault="007E3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4ADE"/>
    <w:multiLevelType w:val="hybridMultilevel"/>
    <w:tmpl w:val="3648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0885"/>
    <w:multiLevelType w:val="hybridMultilevel"/>
    <w:tmpl w:val="F0D0E3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8759DB"/>
    <w:multiLevelType w:val="hybridMultilevel"/>
    <w:tmpl w:val="AEAC68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EC5CAB"/>
    <w:multiLevelType w:val="hybridMultilevel"/>
    <w:tmpl w:val="560C8F1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204A50"/>
    <w:multiLevelType w:val="hybridMultilevel"/>
    <w:tmpl w:val="44C84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825C8"/>
    <w:multiLevelType w:val="hybridMultilevel"/>
    <w:tmpl w:val="41362A1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C93336"/>
    <w:multiLevelType w:val="hybridMultilevel"/>
    <w:tmpl w:val="63DEB1B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04E4CA7"/>
    <w:multiLevelType w:val="hybridMultilevel"/>
    <w:tmpl w:val="B5CCE1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4943C0"/>
    <w:multiLevelType w:val="hybridMultilevel"/>
    <w:tmpl w:val="9E4AF8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95BD8"/>
    <w:multiLevelType w:val="multilevel"/>
    <w:tmpl w:val="5CAE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A74E78"/>
    <w:multiLevelType w:val="hybridMultilevel"/>
    <w:tmpl w:val="49C431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C17862"/>
    <w:multiLevelType w:val="hybridMultilevel"/>
    <w:tmpl w:val="2CBEEFE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F171DC9"/>
    <w:multiLevelType w:val="hybridMultilevel"/>
    <w:tmpl w:val="27183A4A"/>
    <w:lvl w:ilvl="0" w:tplc="04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05C47E2"/>
    <w:multiLevelType w:val="hybridMultilevel"/>
    <w:tmpl w:val="F1EC7DF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593AFB"/>
    <w:multiLevelType w:val="hybridMultilevel"/>
    <w:tmpl w:val="FC387CC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BA360F"/>
    <w:multiLevelType w:val="hybridMultilevel"/>
    <w:tmpl w:val="3E4A2E3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2F67A4"/>
    <w:multiLevelType w:val="hybridMultilevel"/>
    <w:tmpl w:val="511AB6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B7E7F"/>
    <w:multiLevelType w:val="hybridMultilevel"/>
    <w:tmpl w:val="49302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A42867"/>
    <w:multiLevelType w:val="hybridMultilevel"/>
    <w:tmpl w:val="952ADC3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1A41C5B"/>
    <w:multiLevelType w:val="hybridMultilevel"/>
    <w:tmpl w:val="01A08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AD72F3"/>
    <w:multiLevelType w:val="hybridMultilevel"/>
    <w:tmpl w:val="AB5ED03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02D37BB"/>
    <w:multiLevelType w:val="hybridMultilevel"/>
    <w:tmpl w:val="A580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E3F07"/>
    <w:multiLevelType w:val="hybridMultilevel"/>
    <w:tmpl w:val="4694F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514A98"/>
    <w:multiLevelType w:val="hybridMultilevel"/>
    <w:tmpl w:val="B998777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D01E28"/>
    <w:multiLevelType w:val="hybridMultilevel"/>
    <w:tmpl w:val="46B292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6355925">
    <w:abstractNumId w:val="7"/>
  </w:num>
  <w:num w:numId="2" w16cid:durableId="1178693277">
    <w:abstractNumId w:val="1"/>
  </w:num>
  <w:num w:numId="3" w16cid:durableId="2070689119">
    <w:abstractNumId w:val="16"/>
  </w:num>
  <w:num w:numId="4" w16cid:durableId="1315793180">
    <w:abstractNumId w:val="22"/>
  </w:num>
  <w:num w:numId="5" w16cid:durableId="446780397">
    <w:abstractNumId w:val="24"/>
  </w:num>
  <w:num w:numId="6" w16cid:durableId="2134203231">
    <w:abstractNumId w:val="2"/>
  </w:num>
  <w:num w:numId="7" w16cid:durableId="1995716114">
    <w:abstractNumId w:val="17"/>
  </w:num>
  <w:num w:numId="8" w16cid:durableId="1817070144">
    <w:abstractNumId w:val="13"/>
  </w:num>
  <w:num w:numId="9" w16cid:durableId="798916192">
    <w:abstractNumId w:val="5"/>
  </w:num>
  <w:num w:numId="10" w16cid:durableId="58409977">
    <w:abstractNumId w:val="23"/>
  </w:num>
  <w:num w:numId="11" w16cid:durableId="1936396456">
    <w:abstractNumId w:val="15"/>
  </w:num>
  <w:num w:numId="12" w16cid:durableId="1466267036">
    <w:abstractNumId w:val="14"/>
  </w:num>
  <w:num w:numId="13" w16cid:durableId="849635610">
    <w:abstractNumId w:val="10"/>
  </w:num>
  <w:num w:numId="14" w16cid:durableId="1694570049">
    <w:abstractNumId w:val="21"/>
  </w:num>
  <w:num w:numId="15" w16cid:durableId="1524591438">
    <w:abstractNumId w:val="19"/>
  </w:num>
  <w:num w:numId="16" w16cid:durableId="1988389878">
    <w:abstractNumId w:val="0"/>
  </w:num>
  <w:num w:numId="17" w16cid:durableId="755519527">
    <w:abstractNumId w:val="9"/>
  </w:num>
  <w:num w:numId="18" w16cid:durableId="1750276150">
    <w:abstractNumId w:val="12"/>
  </w:num>
  <w:num w:numId="19" w16cid:durableId="1809862181">
    <w:abstractNumId w:val="6"/>
  </w:num>
  <w:num w:numId="20" w16cid:durableId="637035326">
    <w:abstractNumId w:val="11"/>
  </w:num>
  <w:num w:numId="21" w16cid:durableId="372582573">
    <w:abstractNumId w:val="8"/>
  </w:num>
  <w:num w:numId="22" w16cid:durableId="721828778">
    <w:abstractNumId w:val="4"/>
  </w:num>
  <w:num w:numId="23" w16cid:durableId="407074535">
    <w:abstractNumId w:val="20"/>
  </w:num>
  <w:num w:numId="24" w16cid:durableId="1163667542">
    <w:abstractNumId w:val="3"/>
  </w:num>
  <w:num w:numId="25" w16cid:durableId="9742201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97"/>
    <w:rsid w:val="00034732"/>
    <w:rsid w:val="00091D4D"/>
    <w:rsid w:val="00096E36"/>
    <w:rsid w:val="000A19BF"/>
    <w:rsid w:val="000A25E9"/>
    <w:rsid w:val="000A3039"/>
    <w:rsid w:val="000A3B2C"/>
    <w:rsid w:val="000B1286"/>
    <w:rsid w:val="000C5A70"/>
    <w:rsid w:val="000C6501"/>
    <w:rsid w:val="000D6A57"/>
    <w:rsid w:val="000F2673"/>
    <w:rsid w:val="0010109E"/>
    <w:rsid w:val="0012427C"/>
    <w:rsid w:val="0012473C"/>
    <w:rsid w:val="001247BF"/>
    <w:rsid w:val="001265A3"/>
    <w:rsid w:val="00143B1B"/>
    <w:rsid w:val="00154DD7"/>
    <w:rsid w:val="0015718F"/>
    <w:rsid w:val="001671A3"/>
    <w:rsid w:val="00167541"/>
    <w:rsid w:val="00171F8D"/>
    <w:rsid w:val="00186B17"/>
    <w:rsid w:val="00187C32"/>
    <w:rsid w:val="001A3B85"/>
    <w:rsid w:val="001C1161"/>
    <w:rsid w:val="001C4042"/>
    <w:rsid w:val="001D6FC2"/>
    <w:rsid w:val="001D7B70"/>
    <w:rsid w:val="001E21F2"/>
    <w:rsid w:val="00214217"/>
    <w:rsid w:val="00215C42"/>
    <w:rsid w:val="0023707D"/>
    <w:rsid w:val="00264AA8"/>
    <w:rsid w:val="00265ABC"/>
    <w:rsid w:val="00285853"/>
    <w:rsid w:val="0029435C"/>
    <w:rsid w:val="002B20A4"/>
    <w:rsid w:val="002E2B2F"/>
    <w:rsid w:val="002E45E1"/>
    <w:rsid w:val="00315C0B"/>
    <w:rsid w:val="00356A78"/>
    <w:rsid w:val="00365525"/>
    <w:rsid w:val="003A0DDF"/>
    <w:rsid w:val="003A7D6B"/>
    <w:rsid w:val="003F57FB"/>
    <w:rsid w:val="004013BE"/>
    <w:rsid w:val="00413B43"/>
    <w:rsid w:val="00413C88"/>
    <w:rsid w:val="00441AED"/>
    <w:rsid w:val="00451057"/>
    <w:rsid w:val="00476A58"/>
    <w:rsid w:val="004814A2"/>
    <w:rsid w:val="00483D07"/>
    <w:rsid w:val="00484D34"/>
    <w:rsid w:val="00492AC8"/>
    <w:rsid w:val="0049363A"/>
    <w:rsid w:val="004A582C"/>
    <w:rsid w:val="004C26F9"/>
    <w:rsid w:val="004C4728"/>
    <w:rsid w:val="004D0B8E"/>
    <w:rsid w:val="004D6722"/>
    <w:rsid w:val="004E27C0"/>
    <w:rsid w:val="004E30A7"/>
    <w:rsid w:val="004F3935"/>
    <w:rsid w:val="004F7D7C"/>
    <w:rsid w:val="0051330C"/>
    <w:rsid w:val="00531EFD"/>
    <w:rsid w:val="00533256"/>
    <w:rsid w:val="00550238"/>
    <w:rsid w:val="00550F3D"/>
    <w:rsid w:val="005638FF"/>
    <w:rsid w:val="005836EF"/>
    <w:rsid w:val="0058563E"/>
    <w:rsid w:val="005A2254"/>
    <w:rsid w:val="005B0AE1"/>
    <w:rsid w:val="005C1035"/>
    <w:rsid w:val="005F1AB9"/>
    <w:rsid w:val="005F35F7"/>
    <w:rsid w:val="00612A28"/>
    <w:rsid w:val="006163EE"/>
    <w:rsid w:val="00631231"/>
    <w:rsid w:val="00636723"/>
    <w:rsid w:val="006464B7"/>
    <w:rsid w:val="00651B7F"/>
    <w:rsid w:val="00652620"/>
    <w:rsid w:val="00660874"/>
    <w:rsid w:val="00692635"/>
    <w:rsid w:val="00693745"/>
    <w:rsid w:val="0069440E"/>
    <w:rsid w:val="00694A16"/>
    <w:rsid w:val="00695A06"/>
    <w:rsid w:val="006A3EE9"/>
    <w:rsid w:val="006D31C1"/>
    <w:rsid w:val="006D4895"/>
    <w:rsid w:val="006D51BC"/>
    <w:rsid w:val="0070372E"/>
    <w:rsid w:val="007071E8"/>
    <w:rsid w:val="00710244"/>
    <w:rsid w:val="00712E17"/>
    <w:rsid w:val="0071419C"/>
    <w:rsid w:val="00753ED9"/>
    <w:rsid w:val="00754F07"/>
    <w:rsid w:val="00757CBE"/>
    <w:rsid w:val="007B1B88"/>
    <w:rsid w:val="007C066F"/>
    <w:rsid w:val="007C10CE"/>
    <w:rsid w:val="007E068A"/>
    <w:rsid w:val="007E0E92"/>
    <w:rsid w:val="007E314D"/>
    <w:rsid w:val="00802869"/>
    <w:rsid w:val="00820DB8"/>
    <w:rsid w:val="008242BC"/>
    <w:rsid w:val="00825C10"/>
    <w:rsid w:val="00826070"/>
    <w:rsid w:val="00861E93"/>
    <w:rsid w:val="00870261"/>
    <w:rsid w:val="00883347"/>
    <w:rsid w:val="0089148B"/>
    <w:rsid w:val="008A3F1F"/>
    <w:rsid w:val="008A7263"/>
    <w:rsid w:val="008F197E"/>
    <w:rsid w:val="008F7E5F"/>
    <w:rsid w:val="009152E3"/>
    <w:rsid w:val="00920C7C"/>
    <w:rsid w:val="009364AB"/>
    <w:rsid w:val="0095359C"/>
    <w:rsid w:val="00956B43"/>
    <w:rsid w:val="009731A1"/>
    <w:rsid w:val="009736AA"/>
    <w:rsid w:val="009821AF"/>
    <w:rsid w:val="00996D0A"/>
    <w:rsid w:val="00997367"/>
    <w:rsid w:val="009A3586"/>
    <w:rsid w:val="009C1F3B"/>
    <w:rsid w:val="009D2930"/>
    <w:rsid w:val="009D70E7"/>
    <w:rsid w:val="009D78E9"/>
    <w:rsid w:val="009E0666"/>
    <w:rsid w:val="009E240C"/>
    <w:rsid w:val="009E3858"/>
    <w:rsid w:val="009E4CBE"/>
    <w:rsid w:val="009F2665"/>
    <w:rsid w:val="00A15E09"/>
    <w:rsid w:val="00A17587"/>
    <w:rsid w:val="00A27B08"/>
    <w:rsid w:val="00A553EE"/>
    <w:rsid w:val="00A60184"/>
    <w:rsid w:val="00A6595B"/>
    <w:rsid w:val="00A87331"/>
    <w:rsid w:val="00A90169"/>
    <w:rsid w:val="00A9434E"/>
    <w:rsid w:val="00AA2240"/>
    <w:rsid w:val="00AA2E28"/>
    <w:rsid w:val="00AC2DA6"/>
    <w:rsid w:val="00AD7CD0"/>
    <w:rsid w:val="00AE1C01"/>
    <w:rsid w:val="00AE5C4E"/>
    <w:rsid w:val="00AE6613"/>
    <w:rsid w:val="00AF3D96"/>
    <w:rsid w:val="00B15BD3"/>
    <w:rsid w:val="00B22CBA"/>
    <w:rsid w:val="00B2647E"/>
    <w:rsid w:val="00B42FFC"/>
    <w:rsid w:val="00B45FF2"/>
    <w:rsid w:val="00B53425"/>
    <w:rsid w:val="00B54382"/>
    <w:rsid w:val="00B71FA8"/>
    <w:rsid w:val="00B95655"/>
    <w:rsid w:val="00BA7233"/>
    <w:rsid w:val="00BD28AF"/>
    <w:rsid w:val="00BF45CB"/>
    <w:rsid w:val="00BF75AE"/>
    <w:rsid w:val="00C14430"/>
    <w:rsid w:val="00C17601"/>
    <w:rsid w:val="00C2094F"/>
    <w:rsid w:val="00C432DE"/>
    <w:rsid w:val="00C90B32"/>
    <w:rsid w:val="00C92978"/>
    <w:rsid w:val="00CA099C"/>
    <w:rsid w:val="00CA620D"/>
    <w:rsid w:val="00CB6D60"/>
    <w:rsid w:val="00CB73F2"/>
    <w:rsid w:val="00CC7512"/>
    <w:rsid w:val="00CC7EF5"/>
    <w:rsid w:val="00CD5EF8"/>
    <w:rsid w:val="00CE1CA1"/>
    <w:rsid w:val="00D0145B"/>
    <w:rsid w:val="00D03AAC"/>
    <w:rsid w:val="00D1295E"/>
    <w:rsid w:val="00D2257B"/>
    <w:rsid w:val="00D35D8D"/>
    <w:rsid w:val="00D47300"/>
    <w:rsid w:val="00D50E23"/>
    <w:rsid w:val="00D51A7F"/>
    <w:rsid w:val="00D550F0"/>
    <w:rsid w:val="00D677D9"/>
    <w:rsid w:val="00D82626"/>
    <w:rsid w:val="00D92BE7"/>
    <w:rsid w:val="00DF1AFB"/>
    <w:rsid w:val="00DF20DA"/>
    <w:rsid w:val="00DF3E73"/>
    <w:rsid w:val="00E121A0"/>
    <w:rsid w:val="00E161D1"/>
    <w:rsid w:val="00E17124"/>
    <w:rsid w:val="00E2543E"/>
    <w:rsid w:val="00E42C97"/>
    <w:rsid w:val="00E45FE7"/>
    <w:rsid w:val="00E8342A"/>
    <w:rsid w:val="00E90924"/>
    <w:rsid w:val="00EA11E3"/>
    <w:rsid w:val="00EA1778"/>
    <w:rsid w:val="00EB690E"/>
    <w:rsid w:val="00EC6EF0"/>
    <w:rsid w:val="00ED2265"/>
    <w:rsid w:val="00EF1318"/>
    <w:rsid w:val="00F14B4B"/>
    <w:rsid w:val="00F246FA"/>
    <w:rsid w:val="00F318F3"/>
    <w:rsid w:val="00F31E5D"/>
    <w:rsid w:val="00F32496"/>
    <w:rsid w:val="00F45318"/>
    <w:rsid w:val="00F4571D"/>
    <w:rsid w:val="00F461AC"/>
    <w:rsid w:val="00F527BA"/>
    <w:rsid w:val="00F55436"/>
    <w:rsid w:val="00F64DCB"/>
    <w:rsid w:val="00F66B3A"/>
    <w:rsid w:val="00F71324"/>
    <w:rsid w:val="00F9249E"/>
    <w:rsid w:val="00FA4942"/>
    <w:rsid w:val="00FB2D34"/>
    <w:rsid w:val="00FE0581"/>
    <w:rsid w:val="00FE437A"/>
    <w:rsid w:val="00FE5336"/>
    <w:rsid w:val="00FE5D12"/>
    <w:rsid w:val="00FF5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80EF3"/>
  <w15:chartTrackingRefBased/>
  <w15:docId w15:val="{193B7365-1BC9-4211-8D41-CDCBF73A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C9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F45CB"/>
    <w:pPr>
      <w:ind w:left="720"/>
      <w:contextualSpacing/>
    </w:pPr>
  </w:style>
  <w:style w:type="paragraph" w:styleId="Footer">
    <w:name w:val="footer"/>
    <w:basedOn w:val="Normal"/>
    <w:link w:val="FooterChar"/>
    <w:uiPriority w:val="99"/>
    <w:unhideWhenUsed/>
    <w:rsid w:val="00E42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C97"/>
    <w:rPr>
      <w:rFonts w:eastAsiaTheme="minorEastAsia"/>
    </w:rPr>
  </w:style>
  <w:style w:type="character" w:styleId="Hyperlink">
    <w:name w:val="Hyperlink"/>
    <w:basedOn w:val="DefaultParagraphFont"/>
    <w:uiPriority w:val="99"/>
    <w:unhideWhenUsed/>
    <w:rsid w:val="00E42C97"/>
    <w:rPr>
      <w:color w:val="0563C1" w:themeColor="hyperlink"/>
      <w:u w:val="single"/>
    </w:rPr>
  </w:style>
  <w:style w:type="character" w:customStyle="1" w:styleId="ListParagraphChar">
    <w:name w:val="List Paragraph Char"/>
    <w:link w:val="ListParagraph"/>
    <w:uiPriority w:val="34"/>
    <w:locked/>
    <w:rsid w:val="00E42C97"/>
  </w:style>
  <w:style w:type="character" w:styleId="CommentReference">
    <w:name w:val="annotation reference"/>
    <w:basedOn w:val="DefaultParagraphFont"/>
    <w:uiPriority w:val="99"/>
    <w:semiHidden/>
    <w:unhideWhenUsed/>
    <w:rsid w:val="00956B43"/>
    <w:rPr>
      <w:sz w:val="16"/>
      <w:szCs w:val="16"/>
    </w:rPr>
  </w:style>
  <w:style w:type="paragraph" w:styleId="CommentText">
    <w:name w:val="annotation text"/>
    <w:basedOn w:val="Normal"/>
    <w:link w:val="CommentTextChar"/>
    <w:uiPriority w:val="99"/>
    <w:unhideWhenUsed/>
    <w:rsid w:val="00956B43"/>
    <w:pPr>
      <w:spacing w:line="240" w:lineRule="auto"/>
    </w:pPr>
    <w:rPr>
      <w:sz w:val="20"/>
      <w:szCs w:val="20"/>
    </w:rPr>
  </w:style>
  <w:style w:type="character" w:customStyle="1" w:styleId="CommentTextChar">
    <w:name w:val="Comment Text Char"/>
    <w:basedOn w:val="DefaultParagraphFont"/>
    <w:link w:val="CommentText"/>
    <w:uiPriority w:val="99"/>
    <w:rsid w:val="00956B4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56B43"/>
    <w:rPr>
      <w:b/>
      <w:bCs/>
    </w:rPr>
  </w:style>
  <w:style w:type="character" w:customStyle="1" w:styleId="CommentSubjectChar">
    <w:name w:val="Comment Subject Char"/>
    <w:basedOn w:val="CommentTextChar"/>
    <w:link w:val="CommentSubject"/>
    <w:uiPriority w:val="99"/>
    <w:semiHidden/>
    <w:rsid w:val="00956B43"/>
    <w:rPr>
      <w:rFonts w:eastAsiaTheme="minorEastAsia"/>
      <w:b/>
      <w:bCs/>
      <w:sz w:val="20"/>
      <w:szCs w:val="20"/>
    </w:rPr>
  </w:style>
  <w:style w:type="paragraph" w:styleId="BalloonText">
    <w:name w:val="Balloon Text"/>
    <w:basedOn w:val="Normal"/>
    <w:link w:val="BalloonTextChar"/>
    <w:uiPriority w:val="99"/>
    <w:semiHidden/>
    <w:unhideWhenUsed/>
    <w:rsid w:val="00956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B43"/>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A87331"/>
    <w:rPr>
      <w:color w:val="605E5C"/>
      <w:shd w:val="clear" w:color="auto" w:fill="E1DFDD"/>
    </w:rPr>
  </w:style>
  <w:style w:type="paragraph" w:styleId="Revision">
    <w:name w:val="Revision"/>
    <w:hidden/>
    <w:uiPriority w:val="99"/>
    <w:semiHidden/>
    <w:rsid w:val="00920C7C"/>
    <w:pPr>
      <w:spacing w:after="0" w:line="240" w:lineRule="auto"/>
    </w:pPr>
    <w:rPr>
      <w:rFonts w:eastAsiaTheme="minorEastAsia"/>
    </w:rPr>
  </w:style>
  <w:style w:type="paragraph" w:styleId="NormalWeb">
    <w:name w:val="Normal (Web)"/>
    <w:basedOn w:val="Normal"/>
    <w:uiPriority w:val="99"/>
    <w:semiHidden/>
    <w:unhideWhenUsed/>
    <w:rsid w:val="0012473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33256"/>
    <w:rPr>
      <w:color w:val="954F72" w:themeColor="followedHyperlink"/>
      <w:u w:val="single"/>
    </w:rPr>
  </w:style>
  <w:style w:type="paragraph" w:styleId="Header">
    <w:name w:val="header"/>
    <w:basedOn w:val="Normal"/>
    <w:link w:val="HeaderChar"/>
    <w:uiPriority w:val="99"/>
    <w:unhideWhenUsed/>
    <w:rsid w:val="007E3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14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27329">
      <w:bodyDiv w:val="1"/>
      <w:marLeft w:val="0"/>
      <w:marRight w:val="0"/>
      <w:marTop w:val="0"/>
      <w:marBottom w:val="0"/>
      <w:divBdr>
        <w:top w:val="none" w:sz="0" w:space="0" w:color="auto"/>
        <w:left w:val="none" w:sz="0" w:space="0" w:color="auto"/>
        <w:bottom w:val="none" w:sz="0" w:space="0" w:color="auto"/>
        <w:right w:val="none" w:sz="0" w:space="0" w:color="auto"/>
      </w:divBdr>
    </w:div>
    <w:div w:id="1655642292">
      <w:bodyDiv w:val="1"/>
      <w:marLeft w:val="0"/>
      <w:marRight w:val="0"/>
      <w:marTop w:val="0"/>
      <w:marBottom w:val="0"/>
      <w:divBdr>
        <w:top w:val="none" w:sz="0" w:space="0" w:color="auto"/>
        <w:left w:val="none" w:sz="0" w:space="0" w:color="auto"/>
        <w:bottom w:val="none" w:sz="0" w:space="0" w:color="auto"/>
        <w:right w:val="none" w:sz="0" w:space="0" w:color="auto"/>
      </w:divBdr>
    </w:div>
    <w:div w:id="198443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nl.ca/hcs/files/Our-Path-of-Resilience-An-Action-Plan-to-Promote-Life-and-Prevent-Suicide-in-Newfoundland-and-Labrador-.pdf" TargetMode="External"/><Relationship Id="rId13" Type="http://schemas.openxmlformats.org/officeDocument/2006/relationships/hyperlink" Target="mailto:CAPMHPgrants@gov.nl.ca" TargetMode="External"/><Relationship Id="rId18" Type="http://schemas.openxmlformats.org/officeDocument/2006/relationships/hyperlink" Target="mailto:bailey.reid@nlhealthservices.ca"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nl.ca/hcs/files/ProvincialAlcoholActionPlan.pdf" TargetMode="External"/><Relationship Id="rId12" Type="http://schemas.openxmlformats.org/officeDocument/2006/relationships/hyperlink" Target="https://www.gov.nl.ca/healthyeating/ecole/" TargetMode="External"/><Relationship Id="rId17" Type="http://schemas.openxmlformats.org/officeDocument/2006/relationships/hyperlink" Target="mailto:lauraM.vardy@nlhealthservices.c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williama.lummis@nlhealthservices.ca" TargetMode="External"/><Relationship Id="rId20" Type="http://schemas.openxmlformats.org/officeDocument/2006/relationships/hyperlink" Target="mailto:Gaia.Rezori@nlhealthservices.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nl.ca/healthyeating/affordabl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ara.welsh@nlhealthservices.c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guide-alimentaire.canada.ca/fr/" TargetMode="External"/><Relationship Id="rId19" Type="http://schemas.openxmlformats.org/officeDocument/2006/relationships/hyperlink" Target="mailto:kayla.prosper@nlhealthservices.ca" TargetMode="External"/><Relationship Id="rId4" Type="http://schemas.openxmlformats.org/officeDocument/2006/relationships/webSettings" Target="webSettings.xml"/><Relationship Id="rId9" Type="http://schemas.openxmlformats.org/officeDocument/2006/relationships/hyperlink" Target="https://recreationnl.com/wp-content/uploads/2021/10/Community-Healthy-Eating-Guide-FINAL.pdf" TargetMode="External"/><Relationship Id="rId14" Type="http://schemas.openxmlformats.org/officeDocument/2006/relationships/hyperlink" Target="mailto:carlam.penney@nlhealthservices.c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Warford, Linda</dc:creator>
  <cp:keywords/>
  <dc:description/>
  <cp:lastModifiedBy>Penney, Pauline</cp:lastModifiedBy>
  <cp:revision>21</cp:revision>
  <cp:lastPrinted>2022-07-29T11:19:00Z</cp:lastPrinted>
  <dcterms:created xsi:type="dcterms:W3CDTF">2024-09-06T18:28:00Z</dcterms:created>
  <dcterms:modified xsi:type="dcterms:W3CDTF">2025-08-22T17:17:00Z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2024-09-06T12:58:10Z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a0405d70-8697-4eb7-88b9-fe2f2412feda</vt:lpwstr>
  </property>
  <property fmtid="{D5CDD505-2E9C-101B-9397-08002B2CF9AE}" pid="8" name="MSIP_Label_834ed4f5-eae4-40c7-82be-b1cdf720a1b9_ContentBits">
    <vt:lpwstr>0</vt:lpwstr>
  </property>
</Properties>
</file>