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1D4B" w:rsidRDefault="00FA1D4B">
      <w:pPr>
        <w:pageBreakBefore/>
        <w:rPr>
          <w:rFonts w:ascii="Arial" w:hAnsi="Arial" w:cs="Arial"/>
          <w:b/>
          <w:sz w:val="16"/>
          <w:szCs w:val="16"/>
        </w:rPr>
      </w:pPr>
    </w:p>
    <w:p w:rsidR="00FA1D4B" w:rsidRDefault="00FA1D4B">
      <w:pPr>
        <w:pStyle w:val="BodyText"/>
        <w:spacing w:after="57" w:line="100" w:lineRule="atLeast"/>
        <w:ind w:hanging="13"/>
        <w:jc w:val="both"/>
        <w:rPr>
          <w:rFonts w:ascii="Arial" w:hAnsi="Arial"/>
          <w:b/>
          <w:bCs/>
        </w:rPr>
      </w:pPr>
      <w:r>
        <w:rPr>
          <w:rFonts w:ascii="Arial" w:hAnsi="Arial"/>
          <w:b/>
          <w:bCs/>
        </w:rPr>
        <w:t>1.0</w:t>
      </w:r>
      <w:r>
        <w:rPr>
          <w:rFonts w:ascii="Arial" w:hAnsi="Arial"/>
          <w:b/>
          <w:bCs/>
        </w:rPr>
        <w:tab/>
        <w:t>Purpose</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sz w:val="16"/>
          <w:szCs w:val="16"/>
        </w:rPr>
      </w:pPr>
      <w:r>
        <w:rPr>
          <w:rFonts w:ascii="Arial" w:hAnsi="Arial"/>
          <w:sz w:val="16"/>
          <w:szCs w:val="16"/>
        </w:rPr>
        <w:tab/>
        <w:t>The purpose of this procedure is to detail all steps in flushing, disinfecting and testing of water mains during routine flushing or inspections and repairs.</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b/>
          <w:bCs/>
        </w:rPr>
      </w:pPr>
      <w:r>
        <w:rPr>
          <w:rFonts w:ascii="Arial" w:hAnsi="Arial"/>
          <w:b/>
          <w:bCs/>
        </w:rPr>
        <w:t>2.0</w:t>
      </w:r>
      <w:r>
        <w:rPr>
          <w:rFonts w:ascii="Arial" w:hAnsi="Arial"/>
          <w:b/>
          <w:bCs/>
        </w:rPr>
        <w:tab/>
        <w:t>Background</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sz w:val="16"/>
          <w:szCs w:val="16"/>
        </w:rPr>
      </w:pPr>
      <w:r>
        <w:rPr>
          <w:rFonts w:ascii="Arial" w:hAnsi="Arial"/>
          <w:sz w:val="16"/>
          <w:szCs w:val="16"/>
        </w:rPr>
        <w:t>New sections of water mains and water mains taken out of service for inspection, repair, or other activities, must be flushed, disinfected and tested for bacteriological quality prior to being reinstated for use by the customer. The primary function of water main flushing is to initially remove contamination left in the pipe after installation, and as a routine maintenance, to remove dirt and debris that settles out of the water over time. Routine water main flushing is to be performed at a minimum frequency of once per year. Where flushing is not effective in removing dirt and debris from water mains, swabbing shall be performed at the same minimum frequency.</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b/>
          <w:bCs/>
        </w:rPr>
      </w:pPr>
      <w:r>
        <w:rPr>
          <w:rFonts w:ascii="Arial" w:hAnsi="Arial"/>
          <w:b/>
          <w:bCs/>
        </w:rPr>
        <w:t>3.0</w:t>
      </w:r>
      <w:r>
        <w:rPr>
          <w:rFonts w:ascii="Arial" w:hAnsi="Arial"/>
          <w:b/>
          <w:bCs/>
        </w:rPr>
        <w:tab/>
        <w:t>Flushing Procedure</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sz w:val="16"/>
          <w:szCs w:val="16"/>
        </w:rPr>
      </w:pPr>
      <w:r>
        <w:rPr>
          <w:rFonts w:ascii="Arial" w:hAnsi="Arial"/>
          <w:sz w:val="16"/>
          <w:szCs w:val="16"/>
        </w:rPr>
        <w:t>Provide a flushing velocity of at least 0.</w:t>
      </w:r>
      <w:r w:rsidR="00E72CDF">
        <w:rPr>
          <w:rFonts w:ascii="Arial" w:hAnsi="Arial"/>
          <w:sz w:val="16"/>
          <w:szCs w:val="16"/>
        </w:rPr>
        <w:t>76</w:t>
      </w:r>
      <w:r>
        <w:rPr>
          <w:rFonts w:ascii="Arial" w:hAnsi="Arial"/>
          <w:sz w:val="16"/>
          <w:szCs w:val="16"/>
        </w:rPr>
        <w:t xml:space="preserve"> m/s (2.5 ft/s) to 1.</w:t>
      </w:r>
      <w:r w:rsidR="00E72CDF">
        <w:rPr>
          <w:rFonts w:ascii="Arial" w:hAnsi="Arial"/>
          <w:sz w:val="16"/>
          <w:szCs w:val="16"/>
        </w:rPr>
        <w:t>5 m/s (</w:t>
      </w:r>
      <w:r>
        <w:rPr>
          <w:rFonts w:ascii="Arial" w:hAnsi="Arial"/>
          <w:sz w:val="16"/>
          <w:szCs w:val="16"/>
        </w:rPr>
        <w:t>5</w:t>
      </w:r>
      <w:r w:rsidR="00E72CDF">
        <w:rPr>
          <w:rFonts w:ascii="Arial" w:hAnsi="Arial"/>
          <w:sz w:val="16"/>
          <w:szCs w:val="16"/>
        </w:rPr>
        <w:t>.0</w:t>
      </w:r>
      <w:r>
        <w:rPr>
          <w:rFonts w:ascii="Arial" w:hAnsi="Arial"/>
          <w:sz w:val="16"/>
          <w:szCs w:val="16"/>
        </w:rPr>
        <w:t xml:space="preserve"> ft/s). This velocity may be obtained by using more than one hydrant (see table below). Maintain this flow rate until there has been two or three complete changes of water in the pipe, and the water leaving the hydrant is visibly clean.</w:t>
      </w:r>
    </w:p>
    <w:p w:rsidR="00FA1D4B" w:rsidRDefault="00FA1D4B">
      <w:pPr>
        <w:pStyle w:val="BodyText"/>
        <w:spacing w:after="57" w:line="100" w:lineRule="atLeast"/>
        <w:ind w:hanging="13"/>
        <w:jc w:val="both"/>
        <w:rPr>
          <w:rFonts w:ascii="Arial" w:hAnsi="Arial"/>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47"/>
        <w:gridCol w:w="2467"/>
        <w:gridCol w:w="2517"/>
      </w:tblGrid>
      <w:tr w:rsidR="00FA1D4B">
        <w:tc>
          <w:tcPr>
            <w:tcW w:w="1347" w:type="dxa"/>
            <w:tcBorders>
              <w:top w:val="single" w:sz="1" w:space="0" w:color="000000"/>
              <w:left w:val="single" w:sz="1" w:space="0" w:color="000000"/>
              <w:bottom w:val="single" w:sz="1" w:space="0" w:color="000000"/>
            </w:tcBorders>
          </w:tcPr>
          <w:p w:rsidR="00FA1D4B" w:rsidRDefault="00FA1D4B">
            <w:pPr>
              <w:pStyle w:val="TableContents"/>
              <w:jc w:val="center"/>
              <w:rPr>
                <w:rFonts w:ascii="Arial" w:hAnsi="Arial"/>
                <w:b/>
                <w:bCs/>
                <w:sz w:val="16"/>
                <w:szCs w:val="16"/>
              </w:rPr>
            </w:pPr>
            <w:r>
              <w:rPr>
                <w:rFonts w:ascii="Arial" w:hAnsi="Arial"/>
                <w:b/>
                <w:bCs/>
                <w:sz w:val="16"/>
                <w:szCs w:val="16"/>
              </w:rPr>
              <w:t>Pipe Diameter</w:t>
            </w:r>
          </w:p>
        </w:tc>
        <w:tc>
          <w:tcPr>
            <w:tcW w:w="2467" w:type="dxa"/>
            <w:tcBorders>
              <w:top w:val="single" w:sz="1" w:space="0" w:color="000000"/>
              <w:left w:val="single" w:sz="1" w:space="0" w:color="000000"/>
              <w:bottom w:val="single" w:sz="1" w:space="0" w:color="000000"/>
            </w:tcBorders>
          </w:tcPr>
          <w:p w:rsidR="00FA1D4B" w:rsidRDefault="00FA1D4B">
            <w:pPr>
              <w:pStyle w:val="TableContents"/>
              <w:jc w:val="center"/>
              <w:rPr>
                <w:rFonts w:ascii="Arial" w:hAnsi="Arial"/>
                <w:b/>
                <w:bCs/>
                <w:sz w:val="16"/>
                <w:szCs w:val="16"/>
              </w:rPr>
            </w:pPr>
            <w:r>
              <w:rPr>
                <w:rFonts w:ascii="Arial" w:hAnsi="Arial"/>
                <w:b/>
                <w:bCs/>
                <w:sz w:val="16"/>
                <w:szCs w:val="16"/>
              </w:rPr>
              <w:t>Minimum Required Flow Rate</w:t>
            </w:r>
          </w:p>
        </w:tc>
        <w:tc>
          <w:tcPr>
            <w:tcW w:w="2517" w:type="dxa"/>
            <w:tcBorders>
              <w:top w:val="single" w:sz="1" w:space="0" w:color="000000"/>
              <w:left w:val="single" w:sz="1" w:space="0" w:color="000000"/>
              <w:bottom w:val="single" w:sz="1" w:space="0" w:color="000000"/>
              <w:right w:val="single" w:sz="1" w:space="0" w:color="000000"/>
            </w:tcBorders>
          </w:tcPr>
          <w:p w:rsidR="00FA1D4B" w:rsidRDefault="00FA1D4B">
            <w:pPr>
              <w:pStyle w:val="TableContents"/>
              <w:jc w:val="center"/>
              <w:rPr>
                <w:rFonts w:ascii="Arial" w:hAnsi="Arial"/>
                <w:b/>
                <w:bCs/>
                <w:sz w:val="16"/>
                <w:szCs w:val="16"/>
              </w:rPr>
            </w:pPr>
            <w:r>
              <w:rPr>
                <w:rFonts w:ascii="Arial" w:hAnsi="Arial"/>
                <w:b/>
                <w:bCs/>
                <w:sz w:val="16"/>
                <w:szCs w:val="16"/>
              </w:rPr>
              <w:t>No. of Hydrants Required Open</w:t>
            </w:r>
          </w:p>
        </w:tc>
      </w:tr>
      <w:tr w:rsidR="00FA1D4B">
        <w:tc>
          <w:tcPr>
            <w:tcW w:w="134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p>
        </w:tc>
        <w:tc>
          <w:tcPr>
            <w:tcW w:w="246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 xml:space="preserve">Based on 0.76 m/s at 280 </w:t>
            </w:r>
            <w:proofErr w:type="spellStart"/>
            <w:r>
              <w:rPr>
                <w:rFonts w:ascii="Arial" w:hAnsi="Arial"/>
                <w:sz w:val="16"/>
                <w:szCs w:val="16"/>
              </w:rPr>
              <w:t>kPa</w:t>
            </w:r>
            <w:proofErr w:type="spellEnd"/>
            <w:r>
              <w:rPr>
                <w:rFonts w:ascii="Arial" w:hAnsi="Arial"/>
                <w:sz w:val="16"/>
                <w:szCs w:val="16"/>
              </w:rPr>
              <w:t xml:space="preserve"> </w:t>
            </w:r>
          </w:p>
          <w:p w:rsidR="00FA1D4B" w:rsidRDefault="00FA1D4B">
            <w:pPr>
              <w:pStyle w:val="TableContents"/>
              <w:jc w:val="center"/>
              <w:rPr>
                <w:rFonts w:ascii="Arial" w:hAnsi="Arial"/>
                <w:sz w:val="16"/>
                <w:szCs w:val="16"/>
              </w:rPr>
            </w:pPr>
            <w:r>
              <w:rPr>
                <w:rFonts w:ascii="Arial" w:hAnsi="Arial"/>
                <w:sz w:val="16"/>
                <w:szCs w:val="16"/>
              </w:rPr>
              <w:t>(2.5 ft/s at 40 psi)</w:t>
            </w:r>
          </w:p>
        </w:tc>
        <w:tc>
          <w:tcPr>
            <w:tcW w:w="2517" w:type="dxa"/>
            <w:tcBorders>
              <w:left w:val="single" w:sz="1" w:space="0" w:color="000000"/>
              <w:bottom w:val="single" w:sz="1" w:space="0" w:color="000000"/>
              <w:right w:val="single" w:sz="1" w:space="0" w:color="000000"/>
            </w:tcBorders>
          </w:tcPr>
          <w:p w:rsidR="00501BB1" w:rsidRDefault="00501BB1">
            <w:pPr>
              <w:pStyle w:val="TableContents"/>
              <w:jc w:val="center"/>
              <w:rPr>
                <w:rFonts w:ascii="Arial" w:hAnsi="Arial"/>
                <w:sz w:val="16"/>
                <w:szCs w:val="16"/>
              </w:rPr>
            </w:pPr>
            <w:r>
              <w:rPr>
                <w:rFonts w:ascii="Arial" w:hAnsi="Arial"/>
                <w:sz w:val="16"/>
                <w:szCs w:val="16"/>
              </w:rPr>
              <w:t>Based on a hydrant with one</w:t>
            </w:r>
          </w:p>
          <w:p w:rsidR="00FA1D4B" w:rsidRDefault="00FA1D4B">
            <w:pPr>
              <w:pStyle w:val="TableContents"/>
              <w:jc w:val="center"/>
              <w:rPr>
                <w:rFonts w:ascii="Arial" w:hAnsi="Arial"/>
                <w:sz w:val="16"/>
                <w:szCs w:val="16"/>
              </w:rPr>
            </w:pPr>
            <w:r>
              <w:rPr>
                <w:rFonts w:ascii="Arial" w:hAnsi="Arial"/>
                <w:sz w:val="16"/>
                <w:szCs w:val="16"/>
              </w:rPr>
              <w:t>63 mm (2 1/2”) outlet.</w:t>
            </w:r>
          </w:p>
        </w:tc>
      </w:tr>
      <w:tr w:rsidR="00FA1D4B">
        <w:tc>
          <w:tcPr>
            <w:tcW w:w="134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100 mm (4”)</w:t>
            </w:r>
          </w:p>
        </w:tc>
        <w:tc>
          <w:tcPr>
            <w:tcW w:w="246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100 GPM (6 L/s)</w:t>
            </w:r>
          </w:p>
        </w:tc>
        <w:tc>
          <w:tcPr>
            <w:tcW w:w="251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w:t>
            </w:r>
          </w:p>
        </w:tc>
      </w:tr>
      <w:tr w:rsidR="00FA1D4B">
        <w:tc>
          <w:tcPr>
            <w:tcW w:w="134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150 mm (6”)</w:t>
            </w:r>
          </w:p>
        </w:tc>
        <w:tc>
          <w:tcPr>
            <w:tcW w:w="246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200 GPM (13 L/s)</w:t>
            </w:r>
          </w:p>
        </w:tc>
        <w:tc>
          <w:tcPr>
            <w:tcW w:w="251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w:t>
            </w:r>
          </w:p>
        </w:tc>
      </w:tr>
      <w:tr w:rsidR="00FA1D4B">
        <w:tc>
          <w:tcPr>
            <w:tcW w:w="134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200 mm (8”)</w:t>
            </w:r>
          </w:p>
        </w:tc>
        <w:tc>
          <w:tcPr>
            <w:tcW w:w="246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400 GPM (25 L/s)</w:t>
            </w:r>
          </w:p>
        </w:tc>
        <w:tc>
          <w:tcPr>
            <w:tcW w:w="251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w:t>
            </w:r>
          </w:p>
        </w:tc>
      </w:tr>
      <w:tr w:rsidR="00FA1D4B">
        <w:tc>
          <w:tcPr>
            <w:tcW w:w="134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250 mm (10”)</w:t>
            </w:r>
          </w:p>
        </w:tc>
        <w:tc>
          <w:tcPr>
            <w:tcW w:w="246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600 GPM (38 L/s)</w:t>
            </w:r>
          </w:p>
        </w:tc>
        <w:tc>
          <w:tcPr>
            <w:tcW w:w="251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w:t>
            </w:r>
          </w:p>
        </w:tc>
      </w:tr>
      <w:tr w:rsidR="00FA1D4B">
        <w:tc>
          <w:tcPr>
            <w:tcW w:w="134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300 mm (12”)</w:t>
            </w:r>
          </w:p>
        </w:tc>
        <w:tc>
          <w:tcPr>
            <w:tcW w:w="246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900 GPM (57 L/s)</w:t>
            </w:r>
          </w:p>
        </w:tc>
        <w:tc>
          <w:tcPr>
            <w:tcW w:w="251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2</w:t>
            </w:r>
          </w:p>
        </w:tc>
      </w:tr>
      <w:tr w:rsidR="00FA1D4B">
        <w:tc>
          <w:tcPr>
            <w:tcW w:w="134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400 mm (16”)</w:t>
            </w:r>
          </w:p>
        </w:tc>
        <w:tc>
          <w:tcPr>
            <w:tcW w:w="2467"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1600 GPM (100 L/s)</w:t>
            </w:r>
          </w:p>
        </w:tc>
        <w:tc>
          <w:tcPr>
            <w:tcW w:w="251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2</w:t>
            </w:r>
          </w:p>
        </w:tc>
      </w:tr>
    </w:tbl>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sz w:val="16"/>
          <w:szCs w:val="16"/>
        </w:rPr>
      </w:pPr>
      <w:r>
        <w:rPr>
          <w:rFonts w:ascii="Arial" w:hAnsi="Arial"/>
          <w:sz w:val="16"/>
          <w:szCs w:val="16"/>
        </w:rPr>
        <w:t xml:space="preserve">The free chlorine residuals at the end of flushing is to be recorded on the </w:t>
      </w:r>
      <w:r w:rsidR="004609D3">
        <w:rPr>
          <w:rFonts w:ascii="Arial" w:hAnsi="Arial"/>
          <w:sz w:val="16"/>
          <w:szCs w:val="16"/>
        </w:rPr>
        <w:t>Form HM1 – Hydrant Maintenance Report,</w:t>
      </w:r>
      <w:r>
        <w:rPr>
          <w:rFonts w:ascii="Arial" w:hAnsi="Arial"/>
          <w:sz w:val="16"/>
          <w:szCs w:val="16"/>
        </w:rPr>
        <w:t xml:space="preserve"> to ensure that they are at the 0.2 mg/L range with the minimum being 0.05 mg/L.</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sz w:val="16"/>
          <w:szCs w:val="16"/>
        </w:rPr>
      </w:pPr>
      <w:r>
        <w:rPr>
          <w:rFonts w:ascii="Arial" w:hAnsi="Arial"/>
          <w:sz w:val="16"/>
          <w:szCs w:val="16"/>
        </w:rPr>
        <w:t xml:space="preserve">Routine water main flushing is to be performed ONCE A YEAR, except at </w:t>
      </w:r>
      <w:r w:rsidR="004609D3">
        <w:rPr>
          <w:rFonts w:ascii="Arial" w:hAnsi="Arial"/>
          <w:sz w:val="16"/>
          <w:szCs w:val="16"/>
        </w:rPr>
        <w:t>any locations</w:t>
      </w:r>
      <w:r>
        <w:rPr>
          <w:rFonts w:ascii="Arial" w:hAnsi="Arial"/>
          <w:sz w:val="16"/>
          <w:szCs w:val="16"/>
        </w:rPr>
        <w:t xml:space="preserve"> where</w:t>
      </w:r>
      <w:r w:rsidR="004609D3">
        <w:rPr>
          <w:rFonts w:ascii="Arial" w:hAnsi="Arial"/>
          <w:sz w:val="16"/>
          <w:szCs w:val="16"/>
        </w:rPr>
        <w:t xml:space="preserve"> problems with debris and dirt are</w:t>
      </w:r>
      <w:r>
        <w:rPr>
          <w:rFonts w:ascii="Arial" w:hAnsi="Arial"/>
          <w:sz w:val="16"/>
          <w:szCs w:val="16"/>
        </w:rPr>
        <w:t xml:space="preserve"> more prevalent.</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Pre-plan and entire day’s flushing using available system maps. Consider flushing between midnight and 5:00 a.m. To avoid competing for water.</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Determine the sections of main that are to be flushed at one time, the valves to be used and the order in which the pipelines will be flushed.</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Start at or near a source and work outward into the distribution system, progressing from large to small mains.</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Ensure that an adequate amount of flushing water is available (reservoir is full) and a minimum flushing velocity is used (0.7</w:t>
      </w:r>
      <w:r w:rsidR="00E72CDF">
        <w:rPr>
          <w:rFonts w:ascii="Arial" w:hAnsi="Arial"/>
          <w:sz w:val="16"/>
          <w:szCs w:val="16"/>
        </w:rPr>
        <w:t>6</w:t>
      </w:r>
      <w:r>
        <w:rPr>
          <w:rFonts w:ascii="Arial" w:hAnsi="Arial"/>
          <w:sz w:val="16"/>
          <w:szCs w:val="16"/>
        </w:rPr>
        <w:t xml:space="preserve"> m/s (2.5 ft/s) minimum, 1.5 m/s (5</w:t>
      </w:r>
      <w:r w:rsidR="00E72CDF">
        <w:rPr>
          <w:rFonts w:ascii="Arial" w:hAnsi="Arial"/>
          <w:sz w:val="16"/>
          <w:szCs w:val="16"/>
        </w:rPr>
        <w:t>.0</w:t>
      </w:r>
      <w:r>
        <w:rPr>
          <w:rFonts w:ascii="Arial" w:hAnsi="Arial"/>
          <w:sz w:val="16"/>
          <w:szCs w:val="16"/>
        </w:rPr>
        <w:t xml:space="preserve"> ft/s) preferred).</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Prior to flushing the mains, notify all customers who will be affected, of the dates and times of the flushing through billing, newspapers, and local radio and TV announcements. Individually notify people who might be on dialysis machines and also hospitals, restaurants, laundromats, etc.</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Isolate the section to be flushed from the rest of the system, closing the valves slowly to prevent water hammer.</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 xml:space="preserve">Open the fire hydrant or </w:t>
      </w:r>
      <w:proofErr w:type="spellStart"/>
      <w:r>
        <w:rPr>
          <w:rFonts w:ascii="Arial" w:hAnsi="Arial"/>
          <w:sz w:val="16"/>
          <w:szCs w:val="16"/>
        </w:rPr>
        <w:t>blowoff</w:t>
      </w:r>
      <w:proofErr w:type="spellEnd"/>
      <w:r>
        <w:rPr>
          <w:rFonts w:ascii="Arial" w:hAnsi="Arial"/>
          <w:sz w:val="16"/>
          <w:szCs w:val="16"/>
        </w:rPr>
        <w:t xml:space="preserve"> valve slowly.</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Direct flushing water away from traffic, pedestrians and private lots.</w:t>
      </w:r>
    </w:p>
    <w:p w:rsidR="00FA1D4B" w:rsidRDefault="00FA1D4B" w:rsidP="00FA1D4B">
      <w:pPr>
        <w:pStyle w:val="BodyText"/>
        <w:spacing w:after="57" w:line="100" w:lineRule="atLeast"/>
        <w:ind w:left="720"/>
        <w:jc w:val="both"/>
        <w:rPr>
          <w:rFonts w:ascii="Arial" w:hAnsi="Arial"/>
          <w:sz w:val="16"/>
          <w:szCs w:val="16"/>
        </w:rPr>
      </w:pPr>
      <w:r>
        <w:rPr>
          <w:rFonts w:ascii="Arial" w:hAnsi="Arial"/>
          <w:sz w:val="16"/>
          <w:szCs w:val="16"/>
        </w:rPr>
        <w:br w:type="page"/>
      </w:r>
    </w:p>
    <w:p w:rsidR="00FA1D4B" w:rsidRPr="00FA1D4B" w:rsidRDefault="00FA1D4B" w:rsidP="00FA1D4B">
      <w:pPr>
        <w:pStyle w:val="BodyText"/>
        <w:numPr>
          <w:ilvl w:val="0"/>
          <w:numId w:val="6"/>
        </w:numPr>
        <w:spacing w:after="57" w:line="100" w:lineRule="atLeast"/>
        <w:jc w:val="both"/>
        <w:rPr>
          <w:rFonts w:ascii="Arial" w:hAnsi="Arial"/>
          <w:sz w:val="16"/>
          <w:szCs w:val="16"/>
        </w:rPr>
      </w:pPr>
      <w:r>
        <w:rPr>
          <w:rFonts w:ascii="Arial" w:hAnsi="Arial"/>
          <w:sz w:val="16"/>
          <w:szCs w:val="16"/>
        </w:rPr>
        <w:lastRenderedPageBreak/>
        <w:t>Open hydrants fully or a period long enough to stir up the deposits inside the water main (5 to 10 minutes).</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 xml:space="preserve">Ensure that the system pressure in nearby areas does not drop below 138 </w:t>
      </w:r>
      <w:proofErr w:type="spellStart"/>
      <w:r>
        <w:rPr>
          <w:rFonts w:ascii="Arial" w:hAnsi="Arial"/>
          <w:sz w:val="16"/>
          <w:szCs w:val="16"/>
        </w:rPr>
        <w:t>kPa</w:t>
      </w:r>
      <w:proofErr w:type="spellEnd"/>
      <w:r>
        <w:rPr>
          <w:rFonts w:ascii="Arial" w:hAnsi="Arial"/>
          <w:sz w:val="16"/>
          <w:szCs w:val="16"/>
        </w:rPr>
        <w:t xml:space="preserve"> (20 psi).</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Record all pertinent data (valve and hydrant condition, description of appearance and odour of water being flushed).</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Collect two water samples from each flowing hydrant, one about 2 to 3 minutes after the hydrant was opened, and the second just before closing the hydrant, for water quality testing (iron, chlorine residual, turbidity).</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 xml:space="preserve">When the flushing water runs clear, slowly close the hydrant or </w:t>
      </w:r>
      <w:proofErr w:type="spellStart"/>
      <w:r>
        <w:rPr>
          <w:rFonts w:ascii="Arial" w:hAnsi="Arial"/>
          <w:sz w:val="16"/>
          <w:szCs w:val="16"/>
        </w:rPr>
        <w:t>blowoff</w:t>
      </w:r>
      <w:proofErr w:type="spellEnd"/>
      <w:r>
        <w:rPr>
          <w:rFonts w:ascii="Arial" w:hAnsi="Arial"/>
          <w:sz w:val="16"/>
          <w:szCs w:val="16"/>
        </w:rPr>
        <w:t xml:space="preserve"> valve.</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Where the flushing water does not run clear, the operator should use judgement as to relative colour and turbidity and decide when to shut down.</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Mark closed valves on a map or flushing sheet when they are closed and erase marks after they are reopened.</w:t>
      </w:r>
    </w:p>
    <w:p w:rsidR="00FA1D4B" w:rsidRDefault="00FA1D4B">
      <w:pPr>
        <w:pStyle w:val="BodyText"/>
        <w:numPr>
          <w:ilvl w:val="0"/>
          <w:numId w:val="6"/>
        </w:numPr>
        <w:spacing w:after="57" w:line="100" w:lineRule="atLeast"/>
        <w:jc w:val="both"/>
        <w:rPr>
          <w:rFonts w:ascii="Arial" w:hAnsi="Arial"/>
          <w:sz w:val="16"/>
          <w:szCs w:val="16"/>
        </w:rPr>
      </w:pPr>
      <w:r>
        <w:rPr>
          <w:rFonts w:ascii="Arial" w:hAnsi="Arial"/>
          <w:sz w:val="16"/>
          <w:szCs w:val="16"/>
        </w:rPr>
        <w:t>After one section of pipe has been flushed, move onto the next section to be flushed and repeat the same procedure.</w:t>
      </w:r>
    </w:p>
    <w:p w:rsidR="00FA1D4B" w:rsidRDefault="00FA1D4B">
      <w:pPr>
        <w:pStyle w:val="BodyText"/>
        <w:spacing w:after="57" w:line="100" w:lineRule="atLeast"/>
        <w:ind w:hanging="13"/>
        <w:jc w:val="both"/>
        <w:rPr>
          <w:rFonts w:ascii="Arial" w:hAnsi="Arial"/>
          <w:b/>
          <w:bCs/>
        </w:rPr>
      </w:pPr>
    </w:p>
    <w:p w:rsidR="00FA1D4B" w:rsidRDefault="00FA1D4B">
      <w:pPr>
        <w:pStyle w:val="BodyText"/>
        <w:spacing w:after="57" w:line="100" w:lineRule="atLeast"/>
        <w:ind w:hanging="13"/>
        <w:jc w:val="both"/>
        <w:rPr>
          <w:rFonts w:ascii="Arial" w:hAnsi="Arial"/>
          <w:b/>
          <w:bCs/>
        </w:rPr>
      </w:pPr>
      <w:r>
        <w:rPr>
          <w:rFonts w:ascii="Arial" w:hAnsi="Arial"/>
          <w:b/>
          <w:bCs/>
        </w:rPr>
        <w:t>3.1</w:t>
      </w:r>
      <w:r>
        <w:rPr>
          <w:rFonts w:ascii="Arial" w:hAnsi="Arial"/>
          <w:b/>
          <w:bCs/>
        </w:rPr>
        <w:tab/>
        <w:t>Mechanical Cleaning</w:t>
      </w:r>
    </w:p>
    <w:p w:rsidR="00FA1D4B" w:rsidRDefault="00FA1D4B">
      <w:pPr>
        <w:pStyle w:val="BodyText"/>
        <w:spacing w:after="57" w:line="100" w:lineRule="atLeast"/>
        <w:jc w:val="both"/>
      </w:pPr>
    </w:p>
    <w:p w:rsidR="00FA1D4B" w:rsidRDefault="00FA1D4B">
      <w:pPr>
        <w:pStyle w:val="BodyText"/>
        <w:numPr>
          <w:ilvl w:val="0"/>
          <w:numId w:val="7"/>
        </w:numPr>
        <w:spacing w:after="57" w:line="100" w:lineRule="atLeast"/>
        <w:jc w:val="both"/>
        <w:rPr>
          <w:rFonts w:ascii="Arial" w:hAnsi="Arial"/>
          <w:sz w:val="16"/>
          <w:szCs w:val="16"/>
        </w:rPr>
      </w:pPr>
      <w:r>
        <w:rPr>
          <w:rFonts w:ascii="Arial" w:hAnsi="Arial"/>
          <w:sz w:val="16"/>
          <w:szCs w:val="16"/>
        </w:rPr>
        <w:t>Isolate the line to be cleaned, ensure that customers requiring temporary service have enough water.</w:t>
      </w:r>
    </w:p>
    <w:p w:rsidR="00FA1D4B" w:rsidRDefault="00FA1D4B">
      <w:pPr>
        <w:pStyle w:val="BodyText"/>
        <w:numPr>
          <w:ilvl w:val="0"/>
          <w:numId w:val="7"/>
        </w:numPr>
        <w:spacing w:after="57" w:line="100" w:lineRule="atLeast"/>
        <w:jc w:val="both"/>
        <w:rPr>
          <w:rFonts w:ascii="Arial" w:hAnsi="Arial"/>
          <w:sz w:val="16"/>
          <w:szCs w:val="16"/>
        </w:rPr>
      </w:pPr>
      <w:r>
        <w:rPr>
          <w:rFonts w:ascii="Arial" w:hAnsi="Arial"/>
          <w:sz w:val="16"/>
          <w:szCs w:val="16"/>
        </w:rPr>
        <w:t>Verify that all valves in the section to be cleaned are fully opened.</w:t>
      </w:r>
    </w:p>
    <w:p w:rsidR="00FA1D4B" w:rsidRDefault="00FA1D4B">
      <w:pPr>
        <w:pStyle w:val="BodyText"/>
        <w:numPr>
          <w:ilvl w:val="0"/>
          <w:numId w:val="7"/>
        </w:numPr>
        <w:spacing w:after="57" w:line="100" w:lineRule="atLeast"/>
        <w:jc w:val="both"/>
        <w:rPr>
          <w:rFonts w:ascii="Arial" w:hAnsi="Arial"/>
          <w:sz w:val="16"/>
          <w:szCs w:val="16"/>
        </w:rPr>
      </w:pPr>
      <w:r>
        <w:rPr>
          <w:rFonts w:ascii="Arial" w:hAnsi="Arial"/>
          <w:sz w:val="16"/>
          <w:szCs w:val="16"/>
        </w:rPr>
        <w:t>Turn on the water and verify the direction of flow.</w:t>
      </w:r>
    </w:p>
    <w:p w:rsidR="00FA1D4B" w:rsidRDefault="00FA1D4B">
      <w:pPr>
        <w:pStyle w:val="BodyText"/>
        <w:numPr>
          <w:ilvl w:val="0"/>
          <w:numId w:val="7"/>
        </w:numPr>
        <w:spacing w:after="57" w:line="100" w:lineRule="atLeast"/>
        <w:jc w:val="both"/>
        <w:rPr>
          <w:rFonts w:ascii="Arial" w:hAnsi="Arial"/>
          <w:sz w:val="16"/>
          <w:szCs w:val="16"/>
        </w:rPr>
      </w:pPr>
      <w:r>
        <w:rPr>
          <w:rFonts w:ascii="Arial" w:hAnsi="Arial"/>
          <w:sz w:val="16"/>
          <w:szCs w:val="16"/>
        </w:rPr>
        <w:t>Run a full-sized bare swab through the main to prove the direction of flow.</w:t>
      </w:r>
    </w:p>
    <w:p w:rsidR="00FA1D4B" w:rsidRDefault="00FA1D4B">
      <w:pPr>
        <w:pStyle w:val="BodyText"/>
        <w:numPr>
          <w:ilvl w:val="0"/>
          <w:numId w:val="7"/>
        </w:numPr>
        <w:spacing w:after="57" w:line="100" w:lineRule="atLeast"/>
        <w:jc w:val="both"/>
        <w:rPr>
          <w:rFonts w:ascii="Arial" w:hAnsi="Arial"/>
          <w:sz w:val="16"/>
          <w:szCs w:val="16"/>
        </w:rPr>
      </w:pPr>
      <w:r>
        <w:rPr>
          <w:rFonts w:ascii="Arial" w:hAnsi="Arial"/>
          <w:sz w:val="16"/>
          <w:szCs w:val="16"/>
        </w:rPr>
        <w:t>Run a swab unit through the main, and measure the diameter of the unit upon exiting and introduce a crisscross type unit into the main that will just fit the true opening. Run a full-sized bare swab behind the crisscross unit to ensure a tight seal. Continue this process until a unit is discharged from the main in reusable condition.</w:t>
      </w:r>
    </w:p>
    <w:p w:rsidR="00FA1D4B" w:rsidRDefault="00FA1D4B">
      <w:pPr>
        <w:pStyle w:val="BodyText"/>
        <w:numPr>
          <w:ilvl w:val="0"/>
          <w:numId w:val="7"/>
        </w:numPr>
        <w:spacing w:after="57" w:line="100" w:lineRule="atLeast"/>
        <w:jc w:val="both"/>
        <w:rPr>
          <w:rFonts w:ascii="Arial" w:hAnsi="Arial"/>
          <w:sz w:val="16"/>
          <w:szCs w:val="16"/>
        </w:rPr>
      </w:pPr>
      <w:r>
        <w:rPr>
          <w:rFonts w:ascii="Arial" w:hAnsi="Arial"/>
          <w:sz w:val="16"/>
          <w:szCs w:val="16"/>
        </w:rPr>
        <w:t>Increase the size of the crisscross pigs in one inch increments until the units that measure the same as the pipe inside diameter are being used. For pipes with a build-up of hard scale, such as carbonates, crisscross wire pigs can be used on the final pass.</w:t>
      </w:r>
    </w:p>
    <w:p w:rsidR="00FA1D4B" w:rsidRDefault="00FA1D4B">
      <w:pPr>
        <w:pStyle w:val="BodyText"/>
        <w:numPr>
          <w:ilvl w:val="0"/>
          <w:numId w:val="7"/>
        </w:numPr>
        <w:spacing w:after="57" w:line="100" w:lineRule="atLeast"/>
        <w:jc w:val="both"/>
        <w:rPr>
          <w:rFonts w:ascii="Arial" w:hAnsi="Arial"/>
          <w:sz w:val="16"/>
          <w:szCs w:val="16"/>
        </w:rPr>
      </w:pPr>
      <w:r>
        <w:rPr>
          <w:rFonts w:ascii="Arial" w:hAnsi="Arial"/>
          <w:sz w:val="16"/>
          <w:szCs w:val="16"/>
        </w:rPr>
        <w:t>Run a full-sized bare swab to sweep out any loose debris.</w:t>
      </w:r>
    </w:p>
    <w:p w:rsidR="00FA1D4B" w:rsidRDefault="00FA1D4B">
      <w:pPr>
        <w:pStyle w:val="BodyText"/>
        <w:numPr>
          <w:ilvl w:val="0"/>
          <w:numId w:val="7"/>
        </w:numPr>
        <w:spacing w:after="57" w:line="100" w:lineRule="atLeast"/>
        <w:jc w:val="both"/>
        <w:rPr>
          <w:rFonts w:ascii="Arial" w:hAnsi="Arial"/>
          <w:sz w:val="16"/>
          <w:szCs w:val="16"/>
        </w:rPr>
      </w:pPr>
      <w:r>
        <w:rPr>
          <w:rFonts w:ascii="Arial" w:hAnsi="Arial"/>
          <w:sz w:val="16"/>
          <w:szCs w:val="16"/>
        </w:rPr>
        <w:t>Flush thoroughly after each pig run.</w:t>
      </w:r>
    </w:p>
    <w:p w:rsidR="00FA1D4B" w:rsidRDefault="00FA1D4B">
      <w:pPr>
        <w:pStyle w:val="BodyText"/>
        <w:numPr>
          <w:ilvl w:val="0"/>
          <w:numId w:val="7"/>
        </w:numPr>
        <w:spacing w:after="57" w:line="100" w:lineRule="atLeast"/>
        <w:jc w:val="both"/>
        <w:rPr>
          <w:rFonts w:ascii="Arial" w:hAnsi="Arial"/>
          <w:sz w:val="16"/>
          <w:szCs w:val="16"/>
        </w:rPr>
      </w:pPr>
      <w:r>
        <w:rPr>
          <w:rFonts w:ascii="Arial" w:hAnsi="Arial"/>
          <w:sz w:val="16"/>
          <w:szCs w:val="16"/>
        </w:rPr>
        <w:t>Avoid applying more than two wire-brush pigs on the final pass, to prevent over-cleaning.</w:t>
      </w:r>
    </w:p>
    <w:p w:rsidR="00FA1D4B" w:rsidRDefault="00FA1D4B">
      <w:pPr>
        <w:pStyle w:val="BodyText"/>
        <w:numPr>
          <w:ilvl w:val="0"/>
          <w:numId w:val="7"/>
        </w:numPr>
        <w:spacing w:after="57" w:line="100" w:lineRule="atLeast"/>
        <w:jc w:val="both"/>
        <w:rPr>
          <w:rFonts w:ascii="Arial" w:hAnsi="Arial"/>
          <w:sz w:val="16"/>
          <w:szCs w:val="16"/>
        </w:rPr>
      </w:pPr>
      <w:r>
        <w:rPr>
          <w:rFonts w:ascii="Arial" w:hAnsi="Arial"/>
          <w:sz w:val="16"/>
          <w:szCs w:val="16"/>
        </w:rPr>
        <w:t>Launch the pigs from fire hydrants for mains of 200 mm (8”) or smaller, or from concentric reducers, pipe couplings, spools, eccentric reducers, in-line launchers or by hand.</w:t>
      </w:r>
    </w:p>
    <w:p w:rsidR="00FA1D4B" w:rsidRDefault="00FA1D4B">
      <w:pPr>
        <w:pStyle w:val="BodyText"/>
        <w:numPr>
          <w:ilvl w:val="0"/>
          <w:numId w:val="7"/>
        </w:numPr>
        <w:spacing w:after="57" w:line="100" w:lineRule="atLeast"/>
        <w:jc w:val="both"/>
        <w:rPr>
          <w:rFonts w:ascii="Arial" w:hAnsi="Arial"/>
          <w:sz w:val="16"/>
          <w:szCs w:val="16"/>
        </w:rPr>
      </w:pPr>
      <w:r>
        <w:rPr>
          <w:rFonts w:ascii="Arial" w:hAnsi="Arial"/>
          <w:sz w:val="16"/>
          <w:szCs w:val="16"/>
        </w:rPr>
        <w:t>Have an operator with experience in proper main cleaning procedures help you the first time you attempt to clean a main.</w:t>
      </w:r>
    </w:p>
    <w:p w:rsidR="00FA1D4B" w:rsidRDefault="00FA1D4B">
      <w:pPr>
        <w:pStyle w:val="BodyText"/>
        <w:numPr>
          <w:ilvl w:val="0"/>
          <w:numId w:val="7"/>
        </w:numPr>
        <w:spacing w:after="57" w:line="100" w:lineRule="atLeast"/>
        <w:jc w:val="both"/>
        <w:rPr>
          <w:rFonts w:ascii="Arial" w:hAnsi="Arial"/>
          <w:sz w:val="16"/>
          <w:szCs w:val="16"/>
        </w:rPr>
      </w:pPr>
      <w:r>
        <w:rPr>
          <w:rFonts w:ascii="Arial" w:hAnsi="Arial"/>
          <w:sz w:val="16"/>
          <w:szCs w:val="16"/>
        </w:rPr>
        <w:t>After the cleaning operation is completed, flush and disinfect (chlorinate) the main. When the main is reactivated, flush service lines and remove any temporary services.</w:t>
      </w:r>
    </w:p>
    <w:p w:rsidR="00FA1D4B" w:rsidRDefault="00FA1D4B">
      <w:pPr>
        <w:pStyle w:val="BodyText"/>
        <w:spacing w:after="57" w:line="100" w:lineRule="atLeast"/>
        <w:jc w:val="both"/>
      </w:pP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b/>
          <w:bCs/>
        </w:rPr>
      </w:pPr>
      <w:r>
        <w:rPr>
          <w:rFonts w:ascii="Arial" w:hAnsi="Arial"/>
          <w:b/>
          <w:bCs/>
        </w:rPr>
        <w:t>4.0</w:t>
      </w:r>
      <w:r>
        <w:rPr>
          <w:rFonts w:ascii="Arial" w:hAnsi="Arial"/>
          <w:b/>
          <w:bCs/>
        </w:rPr>
        <w:tab/>
        <w:t>Water Disinfection</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sz w:val="16"/>
          <w:szCs w:val="16"/>
        </w:rPr>
      </w:pPr>
      <w:r>
        <w:rPr>
          <w:rFonts w:ascii="Arial" w:hAnsi="Arial"/>
          <w:sz w:val="16"/>
          <w:szCs w:val="16"/>
        </w:rPr>
        <w:t>One of the following procedures is to be followed to disinfect all new water mains and parts prior to being put to use.</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numPr>
          <w:ilvl w:val="1"/>
          <w:numId w:val="4"/>
        </w:numPr>
        <w:spacing w:after="57" w:line="100" w:lineRule="atLeast"/>
        <w:ind w:left="0" w:hanging="13"/>
        <w:jc w:val="both"/>
        <w:rPr>
          <w:rFonts w:ascii="Arial" w:hAnsi="Arial"/>
          <w:b/>
          <w:bCs/>
          <w:sz w:val="16"/>
          <w:szCs w:val="16"/>
        </w:rPr>
      </w:pPr>
      <w:r>
        <w:rPr>
          <w:rFonts w:ascii="Arial" w:hAnsi="Arial"/>
          <w:b/>
          <w:bCs/>
          <w:sz w:val="16"/>
          <w:szCs w:val="16"/>
        </w:rPr>
        <w:t>Calcium Hypochlorite Tablet Method (HTH)</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b/>
          <w:bCs/>
          <w:sz w:val="16"/>
          <w:szCs w:val="16"/>
        </w:rPr>
      </w:pPr>
      <w:r>
        <w:rPr>
          <w:rFonts w:ascii="Arial" w:hAnsi="Arial"/>
          <w:b/>
          <w:bCs/>
          <w:sz w:val="16"/>
          <w:szCs w:val="16"/>
        </w:rPr>
        <w:t>When to Use</w:t>
      </w:r>
    </w:p>
    <w:p w:rsidR="00FA1D4B" w:rsidRDefault="00FA1D4B">
      <w:pPr>
        <w:pStyle w:val="BodyText"/>
        <w:spacing w:after="57" w:line="100" w:lineRule="atLeast"/>
        <w:ind w:hanging="13"/>
        <w:jc w:val="both"/>
        <w:rPr>
          <w:rFonts w:ascii="Arial" w:hAnsi="Arial"/>
          <w:sz w:val="16"/>
          <w:szCs w:val="16"/>
        </w:rPr>
      </w:pPr>
      <w:r>
        <w:rPr>
          <w:rFonts w:ascii="Arial" w:hAnsi="Arial"/>
          <w:sz w:val="16"/>
          <w:szCs w:val="16"/>
        </w:rPr>
        <w:tab/>
      </w:r>
      <w:r>
        <w:rPr>
          <w:rFonts w:ascii="Arial" w:hAnsi="Arial"/>
          <w:sz w:val="16"/>
          <w:szCs w:val="16"/>
        </w:rPr>
        <w:tab/>
        <w:t xml:space="preserve">Primarily used for new installations. The pipe must be kept clean during installation, since the main cannot be flushed before it is </w:t>
      </w:r>
      <w:r>
        <w:rPr>
          <w:rFonts w:ascii="Arial" w:hAnsi="Arial"/>
          <w:sz w:val="16"/>
          <w:szCs w:val="16"/>
        </w:rPr>
        <w:tab/>
        <w:t xml:space="preserve">disinfected. </w:t>
      </w:r>
    </w:p>
    <w:p w:rsidR="00FA1D4B" w:rsidRDefault="00FA1D4B">
      <w:pPr>
        <w:pStyle w:val="BodyText"/>
        <w:spacing w:after="57" w:line="100" w:lineRule="atLeast"/>
        <w:ind w:hanging="13"/>
        <w:rPr>
          <w:rFonts w:ascii="Arial" w:hAnsi="Arial"/>
          <w:sz w:val="16"/>
          <w:szCs w:val="16"/>
        </w:rPr>
      </w:pPr>
      <w:r>
        <w:rPr>
          <w:rFonts w:ascii="Arial" w:hAnsi="Arial"/>
          <w:b/>
          <w:bCs/>
          <w:sz w:val="16"/>
          <w:szCs w:val="16"/>
        </w:rPr>
        <w:t>When NOT to Use</w:t>
      </w:r>
      <w:r>
        <w:rPr>
          <w:rFonts w:ascii="Arial" w:hAnsi="Arial"/>
          <w:sz w:val="16"/>
          <w:szCs w:val="16"/>
        </w:rPr>
        <w:br/>
      </w:r>
      <w:r>
        <w:rPr>
          <w:rFonts w:ascii="Arial" w:hAnsi="Arial"/>
          <w:sz w:val="16"/>
          <w:szCs w:val="16"/>
        </w:rPr>
        <w:tab/>
        <w:t xml:space="preserve">If the pipe cannot be maintained clean during installation, this method should not be used so the line can be flushed prior to </w:t>
      </w:r>
      <w:r>
        <w:rPr>
          <w:rFonts w:ascii="Arial" w:hAnsi="Arial"/>
          <w:sz w:val="16"/>
          <w:szCs w:val="16"/>
        </w:rPr>
        <w:tab/>
        <w:t>disinfection.</w:t>
      </w:r>
    </w:p>
    <w:p w:rsidR="00FA1D4B" w:rsidRDefault="00FA1D4B">
      <w:pPr>
        <w:pStyle w:val="BodyText"/>
        <w:spacing w:after="57" w:line="100" w:lineRule="atLeast"/>
        <w:ind w:hanging="13"/>
        <w:rPr>
          <w:rFonts w:ascii="Arial" w:hAnsi="Arial"/>
          <w:sz w:val="16"/>
          <w:szCs w:val="16"/>
        </w:rPr>
      </w:pPr>
      <w:r>
        <w:rPr>
          <w:rFonts w:ascii="Arial" w:hAnsi="Arial"/>
          <w:sz w:val="16"/>
          <w:szCs w:val="16"/>
        </w:rPr>
        <w:tab/>
      </w:r>
      <w:r>
        <w:rPr>
          <w:rFonts w:ascii="Arial" w:hAnsi="Arial"/>
          <w:sz w:val="16"/>
          <w:szCs w:val="16"/>
        </w:rPr>
        <w:tab/>
      </w:r>
      <w:proofErr w:type="gramStart"/>
      <w:r>
        <w:rPr>
          <w:rFonts w:ascii="Arial" w:hAnsi="Arial"/>
          <w:sz w:val="16"/>
          <w:szCs w:val="16"/>
        </w:rPr>
        <w:t xml:space="preserve">Should not be used on solvent-welded plastic or on screwed-joint steel pipe due to the danger of fire or explosion from the reaction </w:t>
      </w:r>
      <w:r>
        <w:rPr>
          <w:rFonts w:ascii="Arial" w:hAnsi="Arial"/>
          <w:sz w:val="16"/>
          <w:szCs w:val="16"/>
        </w:rPr>
        <w:tab/>
        <w:t>of the joint compounds with the calcium hypochlorite.</w:t>
      </w:r>
      <w:proofErr w:type="gramEnd"/>
    </w:p>
    <w:p w:rsidR="00FA1D4B" w:rsidRDefault="00FA1D4B">
      <w:pPr>
        <w:pageBreakBefore/>
        <w:rPr>
          <w:rFonts w:ascii="Arial" w:hAnsi="Arial" w:cs="Arial"/>
          <w:b/>
          <w:sz w:val="16"/>
          <w:szCs w:val="16"/>
        </w:rPr>
      </w:pPr>
    </w:p>
    <w:p w:rsidR="00FA1D4B" w:rsidRDefault="00FA1D4B" w:rsidP="00E124DF">
      <w:pPr>
        <w:pStyle w:val="BodyText"/>
        <w:numPr>
          <w:ilvl w:val="0"/>
          <w:numId w:val="8"/>
        </w:numPr>
        <w:spacing w:after="57" w:line="100" w:lineRule="atLeast"/>
        <w:rPr>
          <w:rFonts w:ascii="Arial" w:hAnsi="Arial"/>
          <w:sz w:val="16"/>
          <w:szCs w:val="16"/>
        </w:rPr>
      </w:pPr>
      <w:r>
        <w:rPr>
          <w:rFonts w:ascii="Arial" w:hAnsi="Arial"/>
          <w:sz w:val="16"/>
          <w:szCs w:val="16"/>
        </w:rPr>
        <w:t>Place the HTH tablets in each section of pipe and fire hydrant as the work proceeds, affixed to the top of the pipe with epoxy resin. Tablets are to be placed at each end of each section of pipe. Provide sufficient quantities to produce a chlorine residual of 25 mg/L after the pipes have been completely filled with water. Bleed some water to ensure the chlorinated water has contacted all sections of the pipe.</w:t>
      </w:r>
    </w:p>
    <w:p w:rsidR="00FA1D4B" w:rsidRDefault="00FA1D4B" w:rsidP="00E124DF">
      <w:pPr>
        <w:pStyle w:val="BodyText"/>
        <w:numPr>
          <w:ilvl w:val="0"/>
          <w:numId w:val="8"/>
        </w:numPr>
        <w:spacing w:after="57" w:line="100" w:lineRule="atLeast"/>
        <w:rPr>
          <w:rFonts w:ascii="Arial" w:hAnsi="Arial"/>
          <w:sz w:val="16"/>
          <w:szCs w:val="16"/>
        </w:rPr>
      </w:pPr>
      <w:r>
        <w:rPr>
          <w:rFonts w:ascii="Arial" w:hAnsi="Arial"/>
          <w:sz w:val="16"/>
          <w:szCs w:val="16"/>
        </w:rPr>
        <w:t>The pipe is to be filled at a velocity below 0.3 m/s (1 ft/s) to prevent the tablets from dislodging.</w:t>
      </w:r>
    </w:p>
    <w:p w:rsidR="00FA1D4B" w:rsidRDefault="00FA1D4B" w:rsidP="00E124DF">
      <w:pPr>
        <w:pStyle w:val="BodyText"/>
        <w:numPr>
          <w:ilvl w:val="0"/>
          <w:numId w:val="8"/>
        </w:numPr>
        <w:spacing w:after="57" w:line="100" w:lineRule="atLeast"/>
        <w:rPr>
          <w:rFonts w:ascii="Arial" w:hAnsi="Arial"/>
          <w:sz w:val="16"/>
          <w:szCs w:val="16"/>
        </w:rPr>
      </w:pPr>
      <w:r>
        <w:rPr>
          <w:rFonts w:ascii="Arial" w:hAnsi="Arial"/>
          <w:sz w:val="16"/>
          <w:szCs w:val="16"/>
        </w:rPr>
        <w:t>Record the chlorine residual once the main has been filled.</w:t>
      </w:r>
    </w:p>
    <w:p w:rsidR="00FA1D4B" w:rsidRDefault="00FA1D4B" w:rsidP="00E124DF">
      <w:pPr>
        <w:pStyle w:val="BodyText"/>
        <w:numPr>
          <w:ilvl w:val="0"/>
          <w:numId w:val="8"/>
        </w:numPr>
        <w:spacing w:after="57" w:line="100" w:lineRule="atLeast"/>
        <w:rPr>
          <w:rFonts w:ascii="Arial" w:hAnsi="Arial"/>
          <w:sz w:val="16"/>
          <w:szCs w:val="16"/>
        </w:rPr>
      </w:pPr>
      <w:r>
        <w:rPr>
          <w:rFonts w:ascii="Arial" w:hAnsi="Arial"/>
          <w:sz w:val="16"/>
          <w:szCs w:val="16"/>
        </w:rPr>
        <w:t>See the table below for the number of 5 gram calcium hypochlorite tablets required to produce a chlorine residual of 25 mg/L in 6 m (20 ft) pipe lengths.</w:t>
      </w:r>
    </w:p>
    <w:p w:rsidR="00FA1D4B" w:rsidRDefault="00FA1D4B">
      <w:pPr>
        <w:pStyle w:val="BodyText"/>
        <w:spacing w:after="57" w:line="100" w:lineRule="atLeast"/>
        <w:ind w:hanging="13"/>
        <w:rPr>
          <w:rFonts w:ascii="Arial" w:hAnsi="Arial"/>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51"/>
        <w:gridCol w:w="1665"/>
      </w:tblGrid>
      <w:tr w:rsidR="00FA1D4B">
        <w:tc>
          <w:tcPr>
            <w:tcW w:w="1551" w:type="dxa"/>
            <w:tcBorders>
              <w:top w:val="single" w:sz="1" w:space="0" w:color="000000"/>
              <w:left w:val="single" w:sz="1" w:space="0" w:color="000000"/>
              <w:bottom w:val="single" w:sz="1" w:space="0" w:color="000000"/>
            </w:tcBorders>
          </w:tcPr>
          <w:p w:rsidR="00FA1D4B" w:rsidRDefault="00FA1D4B">
            <w:pPr>
              <w:pStyle w:val="TableContents"/>
              <w:jc w:val="center"/>
              <w:rPr>
                <w:rFonts w:ascii="Arial" w:hAnsi="Arial"/>
                <w:b/>
                <w:bCs/>
                <w:sz w:val="16"/>
                <w:szCs w:val="16"/>
              </w:rPr>
            </w:pPr>
            <w:r>
              <w:rPr>
                <w:rFonts w:ascii="Arial" w:hAnsi="Arial"/>
                <w:b/>
                <w:bCs/>
                <w:sz w:val="16"/>
                <w:szCs w:val="16"/>
              </w:rPr>
              <w:t>Pipe Diameter</w:t>
            </w:r>
          </w:p>
        </w:tc>
        <w:tc>
          <w:tcPr>
            <w:tcW w:w="1665" w:type="dxa"/>
            <w:tcBorders>
              <w:top w:val="single" w:sz="1" w:space="0" w:color="000000"/>
              <w:left w:val="single" w:sz="1" w:space="0" w:color="000000"/>
              <w:bottom w:val="single" w:sz="1" w:space="0" w:color="000000"/>
              <w:right w:val="single" w:sz="1" w:space="0" w:color="000000"/>
            </w:tcBorders>
          </w:tcPr>
          <w:p w:rsidR="00FA1D4B" w:rsidRDefault="00FA1D4B">
            <w:pPr>
              <w:pStyle w:val="TableContents"/>
              <w:jc w:val="center"/>
              <w:rPr>
                <w:rFonts w:ascii="Arial" w:hAnsi="Arial"/>
                <w:b/>
                <w:bCs/>
                <w:sz w:val="16"/>
                <w:szCs w:val="16"/>
              </w:rPr>
            </w:pPr>
            <w:r>
              <w:rPr>
                <w:rFonts w:ascii="Arial" w:hAnsi="Arial"/>
                <w:b/>
                <w:bCs/>
                <w:sz w:val="16"/>
                <w:szCs w:val="16"/>
              </w:rPr>
              <w:t>No. or Tablets per Pipe Length</w:t>
            </w:r>
          </w:p>
        </w:tc>
      </w:tr>
      <w:tr w:rsidR="00FA1D4B">
        <w:tc>
          <w:tcPr>
            <w:tcW w:w="1551"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100 mm (4”)</w:t>
            </w:r>
          </w:p>
        </w:tc>
        <w:tc>
          <w:tcPr>
            <w:tcW w:w="1665"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w:t>
            </w:r>
          </w:p>
        </w:tc>
      </w:tr>
      <w:tr w:rsidR="00FA1D4B">
        <w:tc>
          <w:tcPr>
            <w:tcW w:w="1551"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150 mm (6”)</w:t>
            </w:r>
          </w:p>
        </w:tc>
        <w:tc>
          <w:tcPr>
            <w:tcW w:w="1665"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w:t>
            </w:r>
          </w:p>
        </w:tc>
      </w:tr>
      <w:tr w:rsidR="00FA1D4B">
        <w:tc>
          <w:tcPr>
            <w:tcW w:w="1551"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200 mm (8”)</w:t>
            </w:r>
          </w:p>
        </w:tc>
        <w:tc>
          <w:tcPr>
            <w:tcW w:w="1665"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2</w:t>
            </w:r>
          </w:p>
        </w:tc>
      </w:tr>
      <w:tr w:rsidR="00FA1D4B">
        <w:tc>
          <w:tcPr>
            <w:tcW w:w="1551"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250 mm (10”)</w:t>
            </w:r>
          </w:p>
        </w:tc>
        <w:tc>
          <w:tcPr>
            <w:tcW w:w="1665"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3</w:t>
            </w:r>
          </w:p>
        </w:tc>
      </w:tr>
      <w:tr w:rsidR="00FA1D4B">
        <w:tc>
          <w:tcPr>
            <w:tcW w:w="1551"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300 mm (12”)</w:t>
            </w:r>
          </w:p>
        </w:tc>
        <w:tc>
          <w:tcPr>
            <w:tcW w:w="1665"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4</w:t>
            </w:r>
          </w:p>
        </w:tc>
      </w:tr>
      <w:tr w:rsidR="00FA1D4B">
        <w:tc>
          <w:tcPr>
            <w:tcW w:w="1551"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400 mm (16”)</w:t>
            </w:r>
          </w:p>
        </w:tc>
        <w:tc>
          <w:tcPr>
            <w:tcW w:w="1665"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7</w:t>
            </w:r>
          </w:p>
        </w:tc>
      </w:tr>
    </w:tbl>
    <w:p w:rsidR="00FA1D4B" w:rsidRDefault="00FA1D4B">
      <w:pPr>
        <w:pStyle w:val="BodyText"/>
        <w:spacing w:after="57" w:line="100" w:lineRule="atLeast"/>
        <w:ind w:left="709" w:hanging="13"/>
        <w:rPr>
          <w:rFonts w:ascii="Arial" w:hAnsi="Arial"/>
          <w:sz w:val="16"/>
          <w:szCs w:val="16"/>
        </w:rPr>
      </w:pPr>
    </w:p>
    <w:p w:rsidR="00FA1D4B" w:rsidRDefault="00FA1D4B">
      <w:pPr>
        <w:pStyle w:val="BodyText"/>
        <w:spacing w:after="57" w:line="100" w:lineRule="atLeast"/>
        <w:rPr>
          <w:rFonts w:ascii="Arial" w:hAnsi="Arial"/>
          <w:sz w:val="16"/>
          <w:szCs w:val="16"/>
        </w:rPr>
      </w:pPr>
    </w:p>
    <w:p w:rsidR="00FA1D4B" w:rsidRDefault="00FA1D4B">
      <w:pPr>
        <w:pStyle w:val="BodyText"/>
        <w:numPr>
          <w:ilvl w:val="1"/>
          <w:numId w:val="4"/>
        </w:numPr>
        <w:spacing w:after="57" w:line="100" w:lineRule="atLeast"/>
        <w:ind w:left="0" w:hanging="13"/>
        <w:jc w:val="both"/>
        <w:rPr>
          <w:rFonts w:ascii="Arial" w:hAnsi="Arial"/>
          <w:b/>
          <w:bCs/>
          <w:sz w:val="16"/>
          <w:szCs w:val="16"/>
        </w:rPr>
      </w:pPr>
      <w:r>
        <w:rPr>
          <w:rFonts w:ascii="Arial" w:hAnsi="Arial"/>
          <w:b/>
          <w:bCs/>
          <w:sz w:val="16"/>
          <w:szCs w:val="16"/>
        </w:rPr>
        <w:t>Calcium Hypochlorite Granules Method</w:t>
      </w:r>
    </w:p>
    <w:p w:rsidR="00FA1D4B" w:rsidRDefault="00FA1D4B">
      <w:pPr>
        <w:pStyle w:val="BodyText"/>
        <w:spacing w:after="57" w:line="100" w:lineRule="atLeast"/>
        <w:rPr>
          <w:rFonts w:ascii="Arial" w:hAnsi="Arial"/>
          <w:sz w:val="16"/>
          <w:szCs w:val="16"/>
        </w:rPr>
      </w:pPr>
    </w:p>
    <w:p w:rsidR="00FA1D4B" w:rsidRDefault="00FA1D4B" w:rsidP="00E124DF">
      <w:pPr>
        <w:pStyle w:val="BodyText"/>
        <w:numPr>
          <w:ilvl w:val="0"/>
          <w:numId w:val="9"/>
        </w:numPr>
        <w:spacing w:after="57" w:line="100" w:lineRule="atLeast"/>
        <w:rPr>
          <w:rFonts w:ascii="Arial" w:hAnsi="Arial"/>
          <w:sz w:val="16"/>
          <w:szCs w:val="16"/>
        </w:rPr>
      </w:pPr>
      <w:r>
        <w:rPr>
          <w:rFonts w:ascii="Arial" w:hAnsi="Arial"/>
          <w:sz w:val="16"/>
          <w:szCs w:val="16"/>
        </w:rPr>
        <w:t>As an alternate to the tablets, granules of calcium hypochlorite may be used. Granules shall be placed at the start of the first section of pipe and at each branch main and at 150 m (500 ft) intervals. See the table below for the amount of granules required for a chlorine residual of 25 mg/L in a 150 m (500 ft) length of pipe, for various sized pipes.</w:t>
      </w:r>
    </w:p>
    <w:p w:rsidR="00FA1D4B" w:rsidRDefault="00FA1D4B">
      <w:pPr>
        <w:pStyle w:val="BodyText"/>
        <w:spacing w:after="57" w:line="100" w:lineRule="atLeast"/>
        <w:rPr>
          <w:rFonts w:ascii="Arial" w:hAnsi="Arial"/>
          <w:sz w:val="16"/>
          <w:szCs w:val="16"/>
        </w:rPr>
      </w:pPr>
    </w:p>
    <w:p w:rsidR="00FA1D4B" w:rsidRDefault="00FA1D4B">
      <w:pPr>
        <w:pStyle w:val="BodyText"/>
        <w:spacing w:after="57" w:line="100" w:lineRule="atLeast"/>
        <w:rPr>
          <w:rFonts w:ascii="Arial" w:hAnsi="Arial"/>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69"/>
        <w:gridCol w:w="1647"/>
      </w:tblGrid>
      <w:tr w:rsidR="00FA1D4B">
        <w:tc>
          <w:tcPr>
            <w:tcW w:w="1569" w:type="dxa"/>
            <w:tcBorders>
              <w:top w:val="single" w:sz="1" w:space="0" w:color="000000"/>
              <w:left w:val="single" w:sz="1" w:space="0" w:color="000000"/>
              <w:bottom w:val="single" w:sz="1" w:space="0" w:color="000000"/>
            </w:tcBorders>
          </w:tcPr>
          <w:p w:rsidR="00FA1D4B" w:rsidRDefault="00FA1D4B">
            <w:pPr>
              <w:pStyle w:val="TableContents"/>
              <w:jc w:val="center"/>
              <w:rPr>
                <w:rFonts w:ascii="Arial" w:hAnsi="Arial"/>
                <w:b/>
                <w:bCs/>
                <w:sz w:val="16"/>
                <w:szCs w:val="16"/>
              </w:rPr>
            </w:pPr>
            <w:r>
              <w:rPr>
                <w:rFonts w:ascii="Arial" w:hAnsi="Arial"/>
                <w:b/>
                <w:bCs/>
                <w:sz w:val="16"/>
                <w:szCs w:val="16"/>
              </w:rPr>
              <w:t>Pipe Diameter</w:t>
            </w:r>
          </w:p>
        </w:tc>
        <w:tc>
          <w:tcPr>
            <w:tcW w:w="1647" w:type="dxa"/>
            <w:tcBorders>
              <w:top w:val="single" w:sz="1" w:space="0" w:color="000000"/>
              <w:left w:val="single" w:sz="1" w:space="0" w:color="000000"/>
              <w:bottom w:val="single" w:sz="1" w:space="0" w:color="000000"/>
              <w:right w:val="single" w:sz="1" w:space="0" w:color="000000"/>
            </w:tcBorders>
          </w:tcPr>
          <w:p w:rsidR="00FA1D4B" w:rsidRDefault="00FA1D4B">
            <w:pPr>
              <w:pStyle w:val="TableContents"/>
              <w:jc w:val="center"/>
              <w:rPr>
                <w:rFonts w:ascii="Arial" w:hAnsi="Arial"/>
                <w:b/>
                <w:bCs/>
                <w:sz w:val="16"/>
                <w:szCs w:val="16"/>
              </w:rPr>
            </w:pPr>
            <w:r>
              <w:rPr>
                <w:rFonts w:ascii="Arial" w:hAnsi="Arial"/>
                <w:b/>
                <w:bCs/>
                <w:sz w:val="16"/>
                <w:szCs w:val="16"/>
              </w:rPr>
              <w:t>Calcium Hypochlorite Granules</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100 mm (4”)</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57 g (1.7 oz)</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150 mm (6”)</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113 g (3.8 oz)</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200 mm (8”)</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200 g (6.7 oz)</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250 mm (10”)</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300 g (10.5 oz)</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300 mm (12”)</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430 g (15.1 oz)</w:t>
            </w:r>
          </w:p>
        </w:tc>
      </w:tr>
      <w:tr w:rsidR="00FA1D4B" w:rsidTr="00493D56">
        <w:trPr>
          <w:trHeight w:val="567"/>
        </w:trPr>
        <w:tc>
          <w:tcPr>
            <w:tcW w:w="1569" w:type="dxa"/>
            <w:tcBorders>
              <w:left w:val="single" w:sz="1" w:space="0" w:color="000000"/>
              <w:bottom w:val="single" w:sz="1" w:space="0" w:color="000000"/>
            </w:tcBorders>
          </w:tcPr>
          <w:p w:rsidR="00493D56" w:rsidRDefault="00493D56">
            <w:pPr>
              <w:pStyle w:val="TableContents"/>
              <w:jc w:val="center"/>
              <w:rPr>
                <w:rFonts w:ascii="Arial" w:hAnsi="Arial"/>
                <w:sz w:val="16"/>
                <w:szCs w:val="16"/>
              </w:rPr>
            </w:pPr>
          </w:p>
          <w:p w:rsidR="00FA1D4B" w:rsidRDefault="00FA1D4B">
            <w:pPr>
              <w:pStyle w:val="TableContents"/>
              <w:jc w:val="center"/>
              <w:rPr>
                <w:rFonts w:ascii="Arial" w:hAnsi="Arial"/>
                <w:sz w:val="16"/>
                <w:szCs w:val="16"/>
              </w:rPr>
            </w:pPr>
            <w:r>
              <w:rPr>
                <w:rFonts w:ascii="Arial" w:hAnsi="Arial"/>
                <w:sz w:val="16"/>
                <w:szCs w:val="16"/>
              </w:rPr>
              <w:t>350 mm (14”) and larger</w:t>
            </w:r>
          </w:p>
        </w:tc>
        <w:tc>
          <w:tcPr>
            <w:tcW w:w="1647" w:type="dxa"/>
            <w:tcBorders>
              <w:left w:val="single" w:sz="1" w:space="0" w:color="000000"/>
              <w:bottom w:val="single" w:sz="1" w:space="0" w:color="000000"/>
              <w:right w:val="single" w:sz="1" w:space="0" w:color="000000"/>
            </w:tcBorders>
          </w:tcPr>
          <w:p w:rsidR="00493D56" w:rsidRDefault="00493D56">
            <w:pPr>
              <w:pStyle w:val="TableContents"/>
              <w:jc w:val="center"/>
              <w:rPr>
                <w:rFonts w:ascii="Arial" w:hAnsi="Arial"/>
                <w:sz w:val="16"/>
                <w:szCs w:val="16"/>
              </w:rPr>
            </w:pPr>
          </w:p>
          <w:p w:rsidR="00FA1D4B" w:rsidRDefault="00FA1D4B">
            <w:pPr>
              <w:pStyle w:val="TableContents"/>
              <w:jc w:val="center"/>
              <w:rPr>
                <w:rFonts w:ascii="Arial" w:hAnsi="Arial"/>
                <w:sz w:val="16"/>
                <w:szCs w:val="16"/>
              </w:rPr>
            </w:pPr>
            <w:r>
              <w:rPr>
                <w:rFonts w:ascii="Arial" w:hAnsi="Arial"/>
                <w:sz w:val="16"/>
                <w:szCs w:val="16"/>
              </w:rPr>
              <w:t>D</w:t>
            </w:r>
            <w:r>
              <w:rPr>
                <w:rFonts w:ascii="Arial" w:hAnsi="Arial"/>
                <w:sz w:val="16"/>
                <w:szCs w:val="16"/>
                <w:vertAlign w:val="superscript"/>
              </w:rPr>
              <w:t>2</w:t>
            </w:r>
            <w:r>
              <w:rPr>
                <w:rFonts w:ascii="Arial" w:hAnsi="Arial"/>
                <w:sz w:val="16"/>
                <w:szCs w:val="16"/>
              </w:rPr>
              <w:t>*427.9 (D</w:t>
            </w:r>
            <w:r>
              <w:rPr>
                <w:rFonts w:ascii="Arial" w:hAnsi="Arial"/>
                <w:sz w:val="16"/>
                <w:szCs w:val="16"/>
                <w:vertAlign w:val="superscript"/>
              </w:rPr>
              <w:t>2</w:t>
            </w:r>
            <w:r>
              <w:rPr>
                <w:rFonts w:ascii="Arial" w:hAnsi="Arial"/>
                <w:sz w:val="16"/>
                <w:szCs w:val="16"/>
              </w:rPr>
              <w:t>*15.1)</w:t>
            </w:r>
          </w:p>
        </w:tc>
      </w:tr>
    </w:tbl>
    <w:p w:rsidR="00FA1D4B" w:rsidRDefault="00FA1D4B">
      <w:pPr>
        <w:spacing w:after="57" w:line="100" w:lineRule="atLeast"/>
        <w:rPr>
          <w:rFonts w:ascii="Arial" w:hAnsi="Arial"/>
          <w:sz w:val="16"/>
          <w:szCs w:val="16"/>
        </w:rPr>
      </w:pPr>
      <w:proofErr w:type="gramStart"/>
      <w:r>
        <w:rPr>
          <w:rFonts w:ascii="Arial" w:hAnsi="Arial"/>
          <w:sz w:val="16"/>
          <w:szCs w:val="16"/>
        </w:rPr>
        <w:t>Where D is the diameter of the pipe in feet.</w:t>
      </w:r>
      <w:proofErr w:type="gramEnd"/>
    </w:p>
    <w:p w:rsidR="00FA1D4B" w:rsidRDefault="00FA1D4B">
      <w:pPr>
        <w:spacing w:after="57" w:line="100" w:lineRule="atLeast"/>
        <w:rPr>
          <w:rFonts w:ascii="Arial" w:hAnsi="Arial"/>
          <w:sz w:val="16"/>
          <w:szCs w:val="16"/>
        </w:rPr>
      </w:pPr>
    </w:p>
    <w:p w:rsidR="00FA1D4B" w:rsidRDefault="00FA1D4B" w:rsidP="00493D56">
      <w:pPr>
        <w:pStyle w:val="BodyText"/>
        <w:numPr>
          <w:ilvl w:val="1"/>
          <w:numId w:val="4"/>
        </w:numPr>
        <w:spacing w:after="57" w:line="100" w:lineRule="atLeast"/>
        <w:ind w:left="0" w:hanging="13"/>
        <w:jc w:val="both"/>
        <w:rPr>
          <w:rFonts w:ascii="Arial" w:hAnsi="Arial"/>
          <w:b/>
          <w:bCs/>
          <w:sz w:val="16"/>
          <w:szCs w:val="16"/>
        </w:rPr>
      </w:pPr>
      <w:r>
        <w:rPr>
          <w:rFonts w:ascii="Arial" w:hAnsi="Arial"/>
          <w:b/>
          <w:bCs/>
          <w:sz w:val="16"/>
          <w:szCs w:val="16"/>
        </w:rPr>
        <w:t>Hypochlorite Disinfection</w:t>
      </w:r>
    </w:p>
    <w:p w:rsidR="00493D56" w:rsidRDefault="00493D56" w:rsidP="00493D56">
      <w:pPr>
        <w:pStyle w:val="BodyText"/>
        <w:spacing w:after="57" w:line="100" w:lineRule="atLeast"/>
        <w:jc w:val="both"/>
        <w:rPr>
          <w:rFonts w:ascii="Arial" w:hAnsi="Arial"/>
          <w:b/>
          <w:bCs/>
          <w:sz w:val="16"/>
          <w:szCs w:val="16"/>
        </w:rPr>
      </w:pPr>
    </w:p>
    <w:p w:rsidR="00FA1D4B" w:rsidRDefault="00FA1D4B" w:rsidP="00E124DF">
      <w:pPr>
        <w:numPr>
          <w:ilvl w:val="0"/>
          <w:numId w:val="11"/>
        </w:numPr>
        <w:spacing w:after="57" w:line="100" w:lineRule="atLeast"/>
        <w:rPr>
          <w:rFonts w:ascii="Arial" w:hAnsi="Arial"/>
          <w:sz w:val="16"/>
          <w:szCs w:val="16"/>
        </w:rPr>
      </w:pPr>
      <w:r>
        <w:rPr>
          <w:rFonts w:ascii="Arial" w:hAnsi="Arial"/>
          <w:sz w:val="16"/>
          <w:szCs w:val="16"/>
        </w:rPr>
        <w:t xml:space="preserve">Prior to disinfection, flush the system if possible to ensure all contamination and debris has been removed. </w:t>
      </w:r>
    </w:p>
    <w:p w:rsidR="00FA1D4B" w:rsidRDefault="00FA1D4B" w:rsidP="00E124DF">
      <w:pPr>
        <w:numPr>
          <w:ilvl w:val="0"/>
          <w:numId w:val="11"/>
        </w:numPr>
        <w:spacing w:after="57" w:line="100" w:lineRule="atLeast"/>
        <w:rPr>
          <w:rFonts w:ascii="Arial" w:hAnsi="Arial"/>
          <w:sz w:val="16"/>
          <w:szCs w:val="16"/>
        </w:rPr>
      </w:pPr>
      <w:r>
        <w:rPr>
          <w:rFonts w:ascii="Arial" w:hAnsi="Arial"/>
          <w:sz w:val="16"/>
          <w:szCs w:val="16"/>
        </w:rPr>
        <w:t>Ensure adequate drainage has been provided during flushing and disinfection.</w:t>
      </w:r>
    </w:p>
    <w:p w:rsidR="00FA1D4B" w:rsidRDefault="00FA1D4B" w:rsidP="00E124DF">
      <w:pPr>
        <w:numPr>
          <w:ilvl w:val="0"/>
          <w:numId w:val="11"/>
        </w:numPr>
        <w:spacing w:after="57" w:line="100" w:lineRule="atLeast"/>
        <w:rPr>
          <w:rFonts w:ascii="Arial" w:hAnsi="Arial"/>
          <w:sz w:val="16"/>
          <w:szCs w:val="16"/>
        </w:rPr>
      </w:pPr>
      <w:r>
        <w:rPr>
          <w:rFonts w:ascii="Arial" w:hAnsi="Arial"/>
          <w:sz w:val="16"/>
          <w:szCs w:val="16"/>
        </w:rPr>
        <w:t>Inject a concentrated chlorine solution through a corporation stop that has been installed close to the valve that connects to the existing water system, either as a continuous feed system or using a slug.</w:t>
      </w:r>
    </w:p>
    <w:p w:rsidR="00FA1D4B" w:rsidRDefault="00FA1D4B" w:rsidP="00E124DF">
      <w:pPr>
        <w:numPr>
          <w:ilvl w:val="0"/>
          <w:numId w:val="12"/>
        </w:numPr>
        <w:spacing w:after="57" w:line="100" w:lineRule="atLeast"/>
        <w:rPr>
          <w:rFonts w:ascii="Arial" w:hAnsi="Arial"/>
          <w:sz w:val="16"/>
          <w:szCs w:val="16"/>
        </w:rPr>
      </w:pPr>
      <w:r>
        <w:rPr>
          <w:rFonts w:ascii="Arial" w:hAnsi="Arial"/>
          <w:sz w:val="16"/>
          <w:szCs w:val="16"/>
        </w:rPr>
        <w:t>Using a continuous feed method, add water slowly to the pipeline at the same time that the chlor</w:t>
      </w:r>
      <w:r w:rsidR="00E124DF">
        <w:rPr>
          <w:rFonts w:ascii="Arial" w:hAnsi="Arial"/>
          <w:sz w:val="16"/>
          <w:szCs w:val="16"/>
        </w:rPr>
        <w:t xml:space="preserve">ine solution is added, using a </w:t>
      </w:r>
      <w:r>
        <w:rPr>
          <w:rFonts w:ascii="Arial" w:hAnsi="Arial"/>
          <w:sz w:val="16"/>
          <w:szCs w:val="16"/>
        </w:rPr>
        <w:t>chemical feed pump.</w:t>
      </w:r>
    </w:p>
    <w:p w:rsidR="00FA1D4B" w:rsidRDefault="00FA1D4B" w:rsidP="00E124DF">
      <w:pPr>
        <w:numPr>
          <w:ilvl w:val="0"/>
          <w:numId w:val="12"/>
        </w:numPr>
        <w:spacing w:after="57" w:line="100" w:lineRule="atLeast"/>
        <w:rPr>
          <w:rFonts w:ascii="Arial" w:hAnsi="Arial"/>
          <w:sz w:val="16"/>
          <w:szCs w:val="16"/>
        </w:rPr>
      </w:pPr>
      <w:r>
        <w:rPr>
          <w:rFonts w:ascii="Arial" w:hAnsi="Arial"/>
          <w:sz w:val="16"/>
          <w:szCs w:val="16"/>
        </w:rPr>
        <w:t xml:space="preserve">Take the flow of water volume by measuring the water exiting from the fire hydrant at the end of the line, or by metering the flow </w:t>
      </w:r>
      <w:r>
        <w:rPr>
          <w:rFonts w:ascii="Arial" w:hAnsi="Arial"/>
          <w:sz w:val="16"/>
          <w:szCs w:val="16"/>
        </w:rPr>
        <w:tab/>
        <w:t>entering the system.</w:t>
      </w:r>
    </w:p>
    <w:p w:rsidR="00FA1D4B" w:rsidRDefault="00FA1D4B" w:rsidP="00E124DF">
      <w:pPr>
        <w:numPr>
          <w:ilvl w:val="0"/>
          <w:numId w:val="12"/>
        </w:numPr>
        <w:spacing w:after="57" w:line="100" w:lineRule="atLeast"/>
        <w:rPr>
          <w:rFonts w:ascii="Arial" w:hAnsi="Arial"/>
          <w:sz w:val="16"/>
          <w:szCs w:val="16"/>
        </w:rPr>
      </w:pPr>
      <w:r>
        <w:rPr>
          <w:rFonts w:ascii="Arial" w:hAnsi="Arial"/>
          <w:sz w:val="16"/>
          <w:szCs w:val="16"/>
        </w:rPr>
        <w:t>Set the chemical feed rate to produce a concentration of about 50 mg/L when mixed with the incoming water.</w:t>
      </w:r>
    </w:p>
    <w:p w:rsidR="00FA1D4B" w:rsidRPr="00E124DF" w:rsidRDefault="00E124DF" w:rsidP="0048746E">
      <w:pPr>
        <w:numPr>
          <w:ilvl w:val="0"/>
          <w:numId w:val="12"/>
        </w:numPr>
        <w:spacing w:after="57" w:line="100" w:lineRule="atLeast"/>
        <w:rPr>
          <w:rFonts w:ascii="Arial" w:hAnsi="Arial"/>
          <w:sz w:val="16"/>
          <w:szCs w:val="16"/>
        </w:rPr>
      </w:pPr>
      <w:r>
        <w:rPr>
          <w:rFonts w:ascii="Arial" w:hAnsi="Arial"/>
          <w:sz w:val="16"/>
          <w:szCs w:val="16"/>
        </w:rPr>
        <w:br w:type="page"/>
      </w:r>
      <w:r w:rsidR="00FA1D4B">
        <w:rPr>
          <w:rFonts w:ascii="Arial" w:hAnsi="Arial"/>
          <w:sz w:val="16"/>
          <w:szCs w:val="16"/>
        </w:rPr>
        <w:lastRenderedPageBreak/>
        <w:t xml:space="preserve">Continue to feed water and the chlorine solution until you measure at least a residual of 25 mg/L in the flow at the end of the </w:t>
      </w:r>
      <w:r w:rsidR="00FA1D4B" w:rsidRPr="00E124DF">
        <w:rPr>
          <w:rFonts w:ascii="Arial" w:hAnsi="Arial"/>
          <w:sz w:val="16"/>
          <w:szCs w:val="16"/>
        </w:rPr>
        <w:t>line</w:t>
      </w:r>
      <w:r w:rsidR="0019224F">
        <w:rPr>
          <w:rFonts w:ascii="Arial" w:hAnsi="Arial"/>
          <w:sz w:val="16"/>
          <w:szCs w:val="16"/>
        </w:rPr>
        <w:t xml:space="preserve"> (see Calcium Hypochlorite Granules Method above for hypochlorite addition)</w:t>
      </w:r>
      <w:r w:rsidR="00FA1D4B" w:rsidRPr="00E124DF">
        <w:rPr>
          <w:rFonts w:ascii="Arial" w:hAnsi="Arial"/>
          <w:sz w:val="16"/>
          <w:szCs w:val="16"/>
        </w:rPr>
        <w:t>.</w:t>
      </w:r>
    </w:p>
    <w:p w:rsidR="00FA1D4B" w:rsidRDefault="00FA1D4B" w:rsidP="00E124DF">
      <w:pPr>
        <w:numPr>
          <w:ilvl w:val="0"/>
          <w:numId w:val="12"/>
        </w:numPr>
        <w:spacing w:after="57" w:line="100" w:lineRule="atLeast"/>
        <w:rPr>
          <w:rFonts w:ascii="Arial" w:hAnsi="Arial"/>
          <w:sz w:val="16"/>
          <w:szCs w:val="16"/>
        </w:rPr>
      </w:pPr>
      <w:proofErr w:type="spellStart"/>
      <w:r>
        <w:rPr>
          <w:rFonts w:ascii="Arial" w:hAnsi="Arial"/>
          <w:sz w:val="16"/>
          <w:szCs w:val="16"/>
        </w:rPr>
        <w:t>Dechlorinate</w:t>
      </w:r>
      <w:proofErr w:type="spellEnd"/>
      <w:r>
        <w:rPr>
          <w:rFonts w:ascii="Arial" w:hAnsi="Arial"/>
          <w:sz w:val="16"/>
          <w:szCs w:val="16"/>
        </w:rPr>
        <w:t xml:space="preserve"> highly chlorinated water before if enters the surrounding environment.</w:t>
      </w:r>
    </w:p>
    <w:p w:rsidR="00FA1D4B" w:rsidRDefault="00FA1D4B" w:rsidP="00E124DF">
      <w:pPr>
        <w:numPr>
          <w:ilvl w:val="0"/>
          <w:numId w:val="13"/>
        </w:numPr>
        <w:tabs>
          <w:tab w:val="clear" w:pos="720"/>
          <w:tab w:val="num" w:pos="1069"/>
        </w:tabs>
        <w:spacing w:after="57" w:line="100" w:lineRule="atLeast"/>
        <w:ind w:left="1069"/>
        <w:rPr>
          <w:rFonts w:ascii="Arial" w:hAnsi="Arial"/>
          <w:sz w:val="16"/>
          <w:szCs w:val="16"/>
        </w:rPr>
      </w:pPr>
      <w:r>
        <w:rPr>
          <w:rFonts w:ascii="Arial" w:hAnsi="Arial"/>
          <w:sz w:val="16"/>
          <w:szCs w:val="16"/>
        </w:rPr>
        <w:t>Once the chlorine residual in the pipe has reached a minimum of 25 mg/L, stop pumping and allow t</w:t>
      </w:r>
      <w:r w:rsidR="00E124DF">
        <w:rPr>
          <w:rFonts w:ascii="Arial" w:hAnsi="Arial"/>
          <w:sz w:val="16"/>
          <w:szCs w:val="16"/>
        </w:rPr>
        <w:t xml:space="preserve">he pipe to stand for 24 hours. </w:t>
      </w:r>
      <w:r>
        <w:rPr>
          <w:rFonts w:ascii="Arial" w:hAnsi="Arial"/>
          <w:sz w:val="16"/>
          <w:szCs w:val="16"/>
        </w:rPr>
        <w:t>Prior to stopping pumping, exercise all hydrants on the system to ensure that they are all adequatel</w:t>
      </w:r>
      <w:r w:rsidR="00E124DF">
        <w:rPr>
          <w:rFonts w:ascii="Arial" w:hAnsi="Arial"/>
          <w:sz w:val="16"/>
          <w:szCs w:val="16"/>
        </w:rPr>
        <w:t xml:space="preserve">y disinfected. After </w:t>
      </w:r>
      <w:proofErr w:type="spellStart"/>
      <w:proofErr w:type="gramStart"/>
      <w:r w:rsidR="00E124DF">
        <w:rPr>
          <w:rFonts w:ascii="Arial" w:hAnsi="Arial"/>
          <w:sz w:val="16"/>
          <w:szCs w:val="16"/>
        </w:rPr>
        <w:t>pupmping</w:t>
      </w:r>
      <w:proofErr w:type="spellEnd"/>
      <w:r w:rsidR="00E124DF">
        <w:rPr>
          <w:rFonts w:ascii="Arial" w:hAnsi="Arial"/>
          <w:sz w:val="16"/>
          <w:szCs w:val="16"/>
        </w:rPr>
        <w:t xml:space="preserve">  </w:t>
      </w:r>
      <w:r>
        <w:rPr>
          <w:rFonts w:ascii="Arial" w:hAnsi="Arial"/>
          <w:sz w:val="16"/>
          <w:szCs w:val="16"/>
        </w:rPr>
        <w:t>has</w:t>
      </w:r>
      <w:proofErr w:type="gramEnd"/>
      <w:r>
        <w:rPr>
          <w:rFonts w:ascii="Arial" w:hAnsi="Arial"/>
          <w:sz w:val="16"/>
          <w:szCs w:val="16"/>
        </w:rPr>
        <w:t xml:space="preserve"> stopped, operate all line valves to ensure adequate disinfection.</w:t>
      </w:r>
    </w:p>
    <w:p w:rsidR="00FA1D4B" w:rsidRDefault="00FA1D4B" w:rsidP="00E124DF">
      <w:pPr>
        <w:numPr>
          <w:ilvl w:val="0"/>
          <w:numId w:val="13"/>
        </w:numPr>
        <w:tabs>
          <w:tab w:val="clear" w:pos="720"/>
          <w:tab w:val="num" w:pos="1069"/>
        </w:tabs>
        <w:spacing w:after="57" w:line="100" w:lineRule="atLeast"/>
        <w:ind w:left="1069"/>
        <w:rPr>
          <w:rFonts w:ascii="Arial" w:hAnsi="Arial"/>
          <w:sz w:val="16"/>
          <w:szCs w:val="16"/>
        </w:rPr>
      </w:pPr>
      <w:r>
        <w:rPr>
          <w:rFonts w:ascii="Arial" w:hAnsi="Arial"/>
          <w:sz w:val="16"/>
          <w:szCs w:val="16"/>
        </w:rPr>
        <w:t>Check the chlorine residual after 24 hours. If the residual is less than 10 mg/L, flush and repea</w:t>
      </w:r>
      <w:r w:rsidR="00E124DF">
        <w:rPr>
          <w:rFonts w:ascii="Arial" w:hAnsi="Arial"/>
          <w:sz w:val="16"/>
          <w:szCs w:val="16"/>
        </w:rPr>
        <w:t xml:space="preserve">t this procedure to ensure the </w:t>
      </w:r>
      <w:r>
        <w:rPr>
          <w:rFonts w:ascii="Arial" w:hAnsi="Arial"/>
          <w:sz w:val="16"/>
          <w:szCs w:val="16"/>
        </w:rPr>
        <w:t>system is free from contamination.</w:t>
      </w:r>
    </w:p>
    <w:p w:rsidR="00FA1D4B" w:rsidRDefault="00FA1D4B" w:rsidP="00E124DF">
      <w:pPr>
        <w:numPr>
          <w:ilvl w:val="0"/>
          <w:numId w:val="13"/>
        </w:numPr>
        <w:tabs>
          <w:tab w:val="clear" w:pos="720"/>
          <w:tab w:val="num" w:pos="1069"/>
        </w:tabs>
        <w:spacing w:after="57" w:line="100" w:lineRule="atLeast"/>
        <w:ind w:left="1069"/>
        <w:rPr>
          <w:rFonts w:ascii="Arial" w:hAnsi="Arial"/>
          <w:sz w:val="16"/>
          <w:szCs w:val="16"/>
        </w:rPr>
      </w:pPr>
      <w:r>
        <w:rPr>
          <w:rFonts w:ascii="Arial" w:hAnsi="Arial"/>
          <w:sz w:val="16"/>
          <w:szCs w:val="16"/>
        </w:rPr>
        <w:t>Using the slug method, move a slug of a concentration of 100 mg/L minimum through the pipe slowl</w:t>
      </w:r>
      <w:r w:rsidR="00E124DF">
        <w:rPr>
          <w:rFonts w:ascii="Arial" w:hAnsi="Arial"/>
          <w:sz w:val="16"/>
          <w:szCs w:val="16"/>
        </w:rPr>
        <w:t xml:space="preserve">y to achieve a contact time of </w:t>
      </w:r>
      <w:r>
        <w:rPr>
          <w:rFonts w:ascii="Arial" w:hAnsi="Arial"/>
          <w:sz w:val="16"/>
          <w:szCs w:val="16"/>
        </w:rPr>
        <w:t>at least three hours as it moves through the system.</w:t>
      </w:r>
    </w:p>
    <w:p w:rsidR="00FA1D4B" w:rsidRDefault="00FA1D4B" w:rsidP="00E124DF">
      <w:pPr>
        <w:numPr>
          <w:ilvl w:val="0"/>
          <w:numId w:val="13"/>
        </w:numPr>
        <w:tabs>
          <w:tab w:val="clear" w:pos="720"/>
          <w:tab w:val="num" w:pos="1069"/>
        </w:tabs>
        <w:spacing w:after="57" w:line="100" w:lineRule="atLeast"/>
        <w:ind w:left="1069"/>
        <w:rPr>
          <w:rFonts w:ascii="Arial" w:hAnsi="Arial"/>
          <w:sz w:val="16"/>
          <w:szCs w:val="16"/>
        </w:rPr>
      </w:pPr>
      <w:r>
        <w:rPr>
          <w:rFonts w:ascii="Arial" w:hAnsi="Arial"/>
          <w:sz w:val="16"/>
          <w:szCs w:val="16"/>
        </w:rPr>
        <w:t>As the slug moves through the system, operate the fire hydrants to ensure they are disinfected.</w:t>
      </w:r>
    </w:p>
    <w:p w:rsidR="00FA1D4B" w:rsidRDefault="00FA1D4B" w:rsidP="00E124DF">
      <w:pPr>
        <w:numPr>
          <w:ilvl w:val="0"/>
          <w:numId w:val="13"/>
        </w:numPr>
        <w:tabs>
          <w:tab w:val="clear" w:pos="720"/>
          <w:tab w:val="num" w:pos="1069"/>
        </w:tabs>
        <w:spacing w:after="57" w:line="100" w:lineRule="atLeast"/>
        <w:ind w:left="1069"/>
        <w:rPr>
          <w:rFonts w:ascii="Arial" w:hAnsi="Arial"/>
          <w:sz w:val="16"/>
          <w:szCs w:val="16"/>
        </w:rPr>
      </w:pPr>
      <w:r>
        <w:rPr>
          <w:rFonts w:ascii="Arial" w:hAnsi="Arial"/>
          <w:sz w:val="16"/>
          <w:szCs w:val="16"/>
        </w:rPr>
        <w:t>Monitor various points to ensure a high residual which will indicate successful disinfection.</w:t>
      </w:r>
    </w:p>
    <w:p w:rsidR="00FA1D4B" w:rsidRDefault="00FA1D4B" w:rsidP="00E124DF">
      <w:pPr>
        <w:numPr>
          <w:ilvl w:val="0"/>
          <w:numId w:val="13"/>
        </w:numPr>
        <w:tabs>
          <w:tab w:val="clear" w:pos="720"/>
          <w:tab w:val="num" w:pos="1069"/>
        </w:tabs>
        <w:spacing w:after="57" w:line="100" w:lineRule="atLeast"/>
        <w:ind w:left="1069"/>
        <w:rPr>
          <w:rFonts w:ascii="Arial" w:hAnsi="Arial"/>
          <w:sz w:val="16"/>
          <w:szCs w:val="16"/>
        </w:rPr>
      </w:pPr>
      <w:r>
        <w:rPr>
          <w:rFonts w:ascii="Arial" w:hAnsi="Arial"/>
          <w:sz w:val="16"/>
          <w:szCs w:val="16"/>
        </w:rPr>
        <w:t xml:space="preserve">When the slug reaches the end of the line, and the system is being </w:t>
      </w:r>
      <w:proofErr w:type="spellStart"/>
      <w:r>
        <w:rPr>
          <w:rFonts w:ascii="Arial" w:hAnsi="Arial"/>
          <w:sz w:val="16"/>
          <w:szCs w:val="16"/>
        </w:rPr>
        <w:t>dechlorinated</w:t>
      </w:r>
      <w:proofErr w:type="spellEnd"/>
      <w:r>
        <w:rPr>
          <w:rFonts w:ascii="Arial" w:hAnsi="Arial"/>
          <w:sz w:val="16"/>
          <w:szCs w:val="16"/>
        </w:rPr>
        <w:t>, the line and a</w:t>
      </w:r>
      <w:r w:rsidR="00E124DF">
        <w:rPr>
          <w:rFonts w:ascii="Arial" w:hAnsi="Arial"/>
          <w:sz w:val="16"/>
          <w:szCs w:val="16"/>
        </w:rPr>
        <w:t xml:space="preserve">ll hydrants must be flushed to </w:t>
      </w:r>
      <w:r>
        <w:rPr>
          <w:rFonts w:ascii="Arial" w:hAnsi="Arial"/>
          <w:sz w:val="16"/>
          <w:szCs w:val="16"/>
        </w:rPr>
        <w:t>ensure all traces of highly chlorinated water are removed.</w:t>
      </w:r>
    </w:p>
    <w:p w:rsidR="0019224F" w:rsidRDefault="0019224F" w:rsidP="0019224F">
      <w:pPr>
        <w:spacing w:after="57" w:line="100" w:lineRule="atLeast"/>
        <w:ind w:left="1069"/>
        <w:rPr>
          <w:rFonts w:ascii="Arial" w:hAnsi="Arial"/>
          <w:sz w:val="16"/>
          <w:szCs w:val="16"/>
        </w:rPr>
      </w:pPr>
    </w:p>
    <w:p w:rsidR="00FA1D4B" w:rsidRPr="0019224F" w:rsidRDefault="0019224F" w:rsidP="0019224F">
      <w:pPr>
        <w:pStyle w:val="BodyText"/>
        <w:spacing w:after="57" w:line="100" w:lineRule="atLeast"/>
        <w:rPr>
          <w:rFonts w:ascii="Arial" w:hAnsi="Arial"/>
          <w:b/>
          <w:sz w:val="16"/>
          <w:szCs w:val="16"/>
        </w:rPr>
      </w:pPr>
      <w:r w:rsidRPr="0019224F">
        <w:rPr>
          <w:rFonts w:ascii="Arial" w:hAnsi="Arial"/>
          <w:b/>
          <w:sz w:val="16"/>
          <w:szCs w:val="16"/>
        </w:rPr>
        <w:t xml:space="preserve">Quantity of HTH required </w:t>
      </w:r>
      <w:proofErr w:type="gramStart"/>
      <w:r w:rsidRPr="0019224F">
        <w:rPr>
          <w:rFonts w:ascii="Arial" w:hAnsi="Arial"/>
          <w:b/>
          <w:sz w:val="16"/>
          <w:szCs w:val="16"/>
        </w:rPr>
        <w:t>to produce</w:t>
      </w:r>
      <w:proofErr w:type="gramEnd"/>
      <w:r w:rsidRPr="0019224F">
        <w:rPr>
          <w:rFonts w:ascii="Arial" w:hAnsi="Arial"/>
          <w:b/>
          <w:sz w:val="16"/>
          <w:szCs w:val="16"/>
        </w:rPr>
        <w:t xml:space="preserve"> 50 mg/L chlorine residual.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69"/>
        <w:gridCol w:w="1647"/>
      </w:tblGrid>
      <w:tr w:rsidR="00FA1D4B" w:rsidTr="00493D56">
        <w:trPr>
          <w:trHeight w:val="851"/>
        </w:trPr>
        <w:tc>
          <w:tcPr>
            <w:tcW w:w="1569" w:type="dxa"/>
            <w:tcBorders>
              <w:top w:val="single" w:sz="1" w:space="0" w:color="000000"/>
              <w:left w:val="single" w:sz="1" w:space="0" w:color="000000"/>
              <w:bottom w:val="single" w:sz="1" w:space="0" w:color="000000"/>
            </w:tcBorders>
          </w:tcPr>
          <w:p w:rsidR="00FA1D4B" w:rsidRDefault="00FA1D4B">
            <w:pPr>
              <w:pStyle w:val="TableContents"/>
              <w:jc w:val="center"/>
              <w:rPr>
                <w:rFonts w:ascii="Arial" w:hAnsi="Arial"/>
                <w:b/>
                <w:bCs/>
                <w:sz w:val="16"/>
                <w:szCs w:val="16"/>
              </w:rPr>
            </w:pPr>
            <w:r>
              <w:rPr>
                <w:rFonts w:ascii="Arial" w:hAnsi="Arial"/>
                <w:b/>
                <w:bCs/>
                <w:sz w:val="16"/>
                <w:szCs w:val="16"/>
              </w:rPr>
              <w:t>Pipe Diameter</w:t>
            </w:r>
          </w:p>
        </w:tc>
        <w:tc>
          <w:tcPr>
            <w:tcW w:w="1647" w:type="dxa"/>
            <w:tcBorders>
              <w:top w:val="single" w:sz="1" w:space="0" w:color="000000"/>
              <w:left w:val="single" w:sz="1" w:space="0" w:color="000000"/>
              <w:bottom w:val="single" w:sz="1" w:space="0" w:color="000000"/>
              <w:right w:val="single" w:sz="1" w:space="0" w:color="000000"/>
            </w:tcBorders>
          </w:tcPr>
          <w:p w:rsidR="00FA1D4B" w:rsidRDefault="00493D56" w:rsidP="00493D56">
            <w:pPr>
              <w:pStyle w:val="TableContents"/>
              <w:jc w:val="center"/>
              <w:rPr>
                <w:rFonts w:ascii="Arial" w:hAnsi="Arial"/>
                <w:b/>
                <w:bCs/>
                <w:sz w:val="16"/>
                <w:szCs w:val="16"/>
              </w:rPr>
            </w:pPr>
            <w:r>
              <w:rPr>
                <w:rFonts w:ascii="Arial" w:hAnsi="Arial"/>
                <w:b/>
                <w:bCs/>
                <w:sz w:val="16"/>
                <w:szCs w:val="16"/>
              </w:rPr>
              <w:t>Amount of Hypochlorite</w:t>
            </w:r>
            <w:r w:rsidR="00FA1D4B">
              <w:rPr>
                <w:rFonts w:ascii="Arial" w:hAnsi="Arial"/>
                <w:b/>
                <w:bCs/>
                <w:sz w:val="16"/>
                <w:szCs w:val="16"/>
              </w:rPr>
              <w:t xml:space="preserve"> Granules</w:t>
            </w:r>
            <w:r>
              <w:rPr>
                <w:rFonts w:ascii="Arial" w:hAnsi="Arial"/>
                <w:b/>
                <w:bCs/>
                <w:sz w:val="16"/>
                <w:szCs w:val="16"/>
              </w:rPr>
              <w:t xml:space="preserve"> per 30.5m (100 ft) of pipe</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100 mm (4”)</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0.02 kg (0.04 lbs)</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150 mm (6”)</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0.04 kg (0.09 lbs)</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200 mm (8”)</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0.08 kg (0.017 lbs)</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250 mm (10”)</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0.12 kg (0.26 lbs)</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300 mm (12”)</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0.17 kg (0.38 lbs)</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350 mm (14”)</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0.23 kg (0.51 lbs)</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400 mm (16”)</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0.3 kg (0.67 lbs)</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450 mm ( 18”)</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0.39 kg (0.85lbs)</w:t>
            </w:r>
          </w:p>
        </w:tc>
      </w:tr>
      <w:tr w:rsidR="00FA1D4B">
        <w:tc>
          <w:tcPr>
            <w:tcW w:w="1569" w:type="dxa"/>
            <w:tcBorders>
              <w:left w:val="single" w:sz="1" w:space="0" w:color="000000"/>
              <w:bottom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500 mm (20”)</w:t>
            </w:r>
          </w:p>
        </w:tc>
        <w:tc>
          <w:tcPr>
            <w:tcW w:w="1647" w:type="dxa"/>
            <w:tcBorders>
              <w:left w:val="single" w:sz="1" w:space="0" w:color="000000"/>
              <w:bottom w:val="single" w:sz="1" w:space="0" w:color="000000"/>
              <w:right w:val="single" w:sz="1" w:space="0" w:color="000000"/>
            </w:tcBorders>
          </w:tcPr>
          <w:p w:rsidR="00FA1D4B" w:rsidRDefault="00FA1D4B">
            <w:pPr>
              <w:pStyle w:val="TableContents"/>
              <w:jc w:val="center"/>
              <w:rPr>
                <w:rFonts w:ascii="Arial" w:hAnsi="Arial"/>
                <w:sz w:val="16"/>
                <w:szCs w:val="16"/>
              </w:rPr>
            </w:pPr>
            <w:r>
              <w:rPr>
                <w:rFonts w:ascii="Arial" w:hAnsi="Arial"/>
                <w:sz w:val="16"/>
                <w:szCs w:val="16"/>
              </w:rPr>
              <w:t>0.47 kg (1.05 lbs)</w:t>
            </w:r>
          </w:p>
        </w:tc>
      </w:tr>
    </w:tbl>
    <w:p w:rsidR="00B46487" w:rsidRDefault="00B46487">
      <w:pPr>
        <w:spacing w:after="57" w:line="100" w:lineRule="atLeast"/>
        <w:ind w:left="709" w:hanging="13"/>
        <w:rPr>
          <w:rFonts w:ascii="Arial" w:hAnsi="Arial"/>
          <w:sz w:val="16"/>
          <w:szCs w:val="16"/>
        </w:rPr>
        <w:sectPr w:rsidR="00B46487" w:rsidSect="00493D56">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4" w:right="1134" w:bottom="1134" w:left="1134" w:header="720" w:footer="720" w:gutter="0"/>
          <w:cols w:space="720"/>
        </w:sectPr>
      </w:pPr>
    </w:p>
    <w:p w:rsidR="00FA1D4B" w:rsidRDefault="00FA1D4B">
      <w:pPr>
        <w:spacing w:after="57" w:line="100" w:lineRule="atLeast"/>
        <w:ind w:left="709" w:hanging="13"/>
        <w:rPr>
          <w:rFonts w:ascii="Arial" w:hAnsi="Arial"/>
          <w:sz w:val="16"/>
          <w:szCs w:val="16"/>
        </w:rPr>
      </w:pPr>
    </w:p>
    <w:p w:rsidR="00FA1D4B" w:rsidRDefault="00FA1D4B">
      <w:pPr>
        <w:pStyle w:val="BodyText"/>
        <w:spacing w:after="57" w:line="100" w:lineRule="atLeast"/>
        <w:ind w:left="709" w:hanging="13"/>
        <w:rPr>
          <w:rFonts w:ascii="Arial" w:hAnsi="Arial"/>
          <w:sz w:val="16"/>
          <w:szCs w:val="16"/>
        </w:rPr>
      </w:pPr>
    </w:p>
    <w:p w:rsidR="00FA1D4B" w:rsidRDefault="00591FED">
      <w:pPr>
        <w:spacing w:line="360" w:lineRule="auto"/>
        <w:jc w:val="both"/>
        <w:rPr>
          <w:rFonts w:ascii="Arial" w:hAnsi="Arial" w:cs="Arial"/>
          <w:sz w:val="16"/>
          <w:szCs w:val="16"/>
        </w:rPr>
      </w:pPr>
      <w:r>
        <w:pict>
          <v:line id="_x0000_s1026" style="position:absolute;left:0;text-align:left;flip:y;z-index:251656704" from="77.65pt,8.9pt" to="206.75pt,8.9pt" strokeweight=".19mm"/>
        </w:pict>
      </w:r>
      <w:r>
        <w:rPr>
          <w:noProof/>
        </w:rPr>
        <w:pict>
          <v:shapetype id="_x0000_t32" coordsize="21600,21600" o:spt="32" o:oned="t" path="m,l21600,21600e" filled="f">
            <v:path arrowok="t" fillok="f" o:connecttype="none"/>
            <o:lock v:ext="edit" shapetype="t"/>
          </v:shapetype>
          <v:shape id="_x0000_s1039" type="#_x0000_t32" style="position:absolute;left:0;text-align:left;margin-left:412.05pt;margin-top:9.2pt;width:109.5pt;height:0;z-index:251658752" o:connectortype="straight"/>
        </w:pict>
      </w:r>
      <w:r>
        <w:pict>
          <v:line id="_x0000_s1027" style="position:absolute;left:0;text-align:left;z-index:251657728" from="250.1pt,9pt" to="386.6pt,9pt" strokeweight=".19mm"/>
        </w:pict>
      </w:r>
      <w:r w:rsidR="00FA1D4B">
        <w:rPr>
          <w:rFonts w:ascii="Arial" w:hAnsi="Arial" w:cs="Arial"/>
          <w:sz w:val="16"/>
          <w:szCs w:val="16"/>
        </w:rPr>
        <w:t xml:space="preserve">Town Manager/Clerk:  </w:t>
      </w:r>
      <w:r w:rsidR="00FA1D4B">
        <w:rPr>
          <w:rFonts w:ascii="Arial" w:hAnsi="Arial" w:cs="Arial"/>
          <w:sz w:val="16"/>
          <w:szCs w:val="16"/>
        </w:rPr>
        <w:tab/>
      </w:r>
      <w:r w:rsidR="00FA1D4B">
        <w:rPr>
          <w:rFonts w:ascii="Arial" w:hAnsi="Arial" w:cs="Arial"/>
          <w:sz w:val="16"/>
          <w:szCs w:val="16"/>
        </w:rPr>
        <w:tab/>
      </w:r>
      <w:r w:rsidR="00FA1D4B">
        <w:rPr>
          <w:rFonts w:ascii="Arial" w:hAnsi="Arial" w:cs="Arial"/>
          <w:sz w:val="16"/>
          <w:szCs w:val="16"/>
        </w:rPr>
        <w:tab/>
      </w:r>
      <w:r w:rsidR="00FA1D4B">
        <w:rPr>
          <w:rFonts w:ascii="Arial" w:hAnsi="Arial" w:cs="Arial"/>
          <w:sz w:val="16"/>
          <w:szCs w:val="16"/>
        </w:rPr>
        <w:tab/>
        <w:t>Signature:</w:t>
      </w:r>
      <w:r w:rsidR="00AA7FB9">
        <w:rPr>
          <w:rFonts w:ascii="Arial" w:hAnsi="Arial" w:cs="Arial"/>
          <w:sz w:val="16"/>
          <w:szCs w:val="16"/>
        </w:rPr>
        <w:tab/>
      </w:r>
      <w:r w:rsidR="00AA7FB9">
        <w:rPr>
          <w:rFonts w:ascii="Arial" w:hAnsi="Arial" w:cs="Arial"/>
          <w:sz w:val="16"/>
          <w:szCs w:val="16"/>
        </w:rPr>
        <w:tab/>
      </w:r>
      <w:r w:rsidR="00AA7FB9">
        <w:rPr>
          <w:rFonts w:ascii="Arial" w:hAnsi="Arial" w:cs="Arial"/>
          <w:sz w:val="16"/>
          <w:szCs w:val="16"/>
        </w:rPr>
        <w:tab/>
      </w:r>
      <w:r w:rsidR="00AA7FB9">
        <w:rPr>
          <w:rFonts w:ascii="Arial" w:hAnsi="Arial" w:cs="Arial"/>
          <w:sz w:val="16"/>
          <w:szCs w:val="16"/>
        </w:rPr>
        <w:tab/>
        <w:t>Date:</w:t>
      </w:r>
    </w:p>
    <w:p w:rsidR="00B46487" w:rsidRDefault="00B46487">
      <w:pPr>
        <w:spacing w:line="360" w:lineRule="auto"/>
        <w:jc w:val="both"/>
        <w:rPr>
          <w:rFonts w:ascii="Arial" w:hAnsi="Arial" w:cs="Arial"/>
          <w:sz w:val="16"/>
          <w:szCs w:val="16"/>
        </w:rPr>
      </w:pPr>
    </w:p>
    <w:p w:rsidR="00B46487" w:rsidRDefault="00B46487">
      <w:pPr>
        <w:spacing w:line="360" w:lineRule="auto"/>
        <w:jc w:val="both"/>
        <w:rPr>
          <w:rFonts w:ascii="Arial" w:hAnsi="Arial" w:cs="Arial"/>
          <w:sz w:val="16"/>
          <w:szCs w:val="16"/>
        </w:rPr>
      </w:pPr>
      <w:r>
        <w:rPr>
          <w:rFonts w:ascii="Arial" w:hAnsi="Arial" w:cs="Arial"/>
          <w:sz w:val="16"/>
          <w:szCs w:val="16"/>
        </w:rPr>
        <w:t>References</w:t>
      </w:r>
    </w:p>
    <w:p w:rsidR="00B46487" w:rsidRDefault="00B46487" w:rsidP="00B46487">
      <w:pPr>
        <w:spacing w:line="360" w:lineRule="auto"/>
        <w:ind w:left="567" w:hanging="567"/>
        <w:jc w:val="both"/>
        <w:rPr>
          <w:rFonts w:ascii="Arial" w:hAnsi="Arial" w:cs="Arial"/>
          <w:sz w:val="16"/>
          <w:szCs w:val="16"/>
        </w:rPr>
      </w:pPr>
      <w:proofErr w:type="gramStart"/>
      <w:r>
        <w:rPr>
          <w:rFonts w:ascii="Arial" w:hAnsi="Arial" w:cs="Arial"/>
          <w:sz w:val="16"/>
          <w:szCs w:val="16"/>
        </w:rPr>
        <w:t>“Small System Operation and Maintenance Practices” Version 1, Federation of Canadian Municipalities and National Research Council, 2005, ISBN 1-897094-94-9.</w:t>
      </w:r>
      <w:proofErr w:type="gramEnd"/>
    </w:p>
    <w:p w:rsidR="00B46487" w:rsidRDefault="00B46487" w:rsidP="00B46487">
      <w:pPr>
        <w:spacing w:line="360" w:lineRule="auto"/>
        <w:ind w:left="567" w:hanging="567"/>
        <w:jc w:val="both"/>
        <w:rPr>
          <w:rFonts w:ascii="Arial" w:hAnsi="Arial" w:cs="Arial"/>
          <w:sz w:val="16"/>
          <w:szCs w:val="16"/>
        </w:rPr>
      </w:pPr>
      <w:r>
        <w:rPr>
          <w:rFonts w:ascii="Arial" w:hAnsi="Arial" w:cs="Arial"/>
          <w:sz w:val="16"/>
          <w:szCs w:val="16"/>
        </w:rPr>
        <w:t>“From Source to Tap: Guidance on the Multi-Barrier Approach to Safe Drinking Water”, Federal-Provincial-Territorial Committee on Drinking Water and CCME Water Quality Task Group, 2004, ISBN 1-896997-48-1.</w:t>
      </w:r>
    </w:p>
    <w:p w:rsidR="00B46487" w:rsidRDefault="00B46487" w:rsidP="00B46487">
      <w:pPr>
        <w:spacing w:line="360" w:lineRule="auto"/>
        <w:ind w:left="567" w:hanging="567"/>
        <w:jc w:val="both"/>
      </w:pPr>
      <w:proofErr w:type="gramStart"/>
      <w:r>
        <w:rPr>
          <w:rFonts w:ascii="Arial" w:hAnsi="Arial" w:cs="Arial"/>
          <w:sz w:val="16"/>
          <w:szCs w:val="16"/>
        </w:rPr>
        <w:t>“AWWA Standard for Disinfecting Water Mains” American Water Works Association, 1999.</w:t>
      </w:r>
      <w:proofErr w:type="gramEnd"/>
    </w:p>
    <w:sectPr w:rsidR="00B46487" w:rsidSect="00B46487">
      <w:type w:val="continuous"/>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FED" w:rsidRDefault="00591FED" w:rsidP="007729BA">
      <w:r>
        <w:separator/>
      </w:r>
    </w:p>
  </w:endnote>
  <w:endnote w:type="continuationSeparator" w:id="0">
    <w:p w:rsidR="00591FED" w:rsidRDefault="00591FED" w:rsidP="0077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481" w:rsidRDefault="00FE6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481" w:rsidRDefault="00FE64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481" w:rsidRDefault="00FE6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FED" w:rsidRDefault="00591FED" w:rsidP="007729BA">
      <w:r>
        <w:separator/>
      </w:r>
    </w:p>
  </w:footnote>
  <w:footnote w:type="continuationSeparator" w:id="0">
    <w:p w:rsidR="00591FED" w:rsidRDefault="00591FED" w:rsidP="00772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481" w:rsidRDefault="00FE64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74" w:type="dxa"/>
      <w:tblLayout w:type="fixed"/>
      <w:tblLook w:val="0000" w:firstRow="0" w:lastRow="0" w:firstColumn="0" w:lastColumn="0" w:noHBand="0" w:noVBand="0"/>
    </w:tblPr>
    <w:tblGrid>
      <w:gridCol w:w="7187"/>
      <w:gridCol w:w="1929"/>
    </w:tblGrid>
    <w:tr w:rsidR="0019224F" w:rsidTr="001A21AC">
      <w:tc>
        <w:tcPr>
          <w:tcW w:w="7187" w:type="dxa"/>
          <w:tcBorders>
            <w:top w:val="single" w:sz="4" w:space="0" w:color="000000"/>
            <w:left w:val="single" w:sz="4" w:space="0" w:color="000000"/>
            <w:bottom w:val="single" w:sz="4" w:space="0" w:color="000000"/>
          </w:tcBorders>
        </w:tcPr>
        <w:p w:rsidR="00FE6481" w:rsidRDefault="0019224F" w:rsidP="001A21AC">
          <w:pPr>
            <w:jc w:val="center"/>
            <w:rPr>
              <w:rFonts w:ascii="Arial" w:hAnsi="Arial" w:cs="Arial"/>
            </w:rPr>
          </w:pPr>
          <w:r>
            <w:rPr>
              <w:rFonts w:ascii="Arial" w:hAnsi="Arial" w:cs="Arial"/>
            </w:rPr>
            <w:t>Town</w:t>
          </w:r>
          <w:r w:rsidR="002E5FD2">
            <w:rPr>
              <w:rFonts w:ascii="Arial" w:hAnsi="Arial" w:cs="Arial"/>
            </w:rPr>
            <w:t>/LSD</w:t>
          </w:r>
          <w:bookmarkStart w:id="0" w:name="_GoBack"/>
          <w:bookmarkEnd w:id="0"/>
          <w:r>
            <w:rPr>
              <w:rFonts w:ascii="Arial" w:hAnsi="Arial" w:cs="Arial"/>
            </w:rPr>
            <w:t xml:space="preserve"> of </w:t>
          </w:r>
        </w:p>
        <w:p w:rsidR="0019224F" w:rsidRDefault="0019224F" w:rsidP="001A21AC">
          <w:pPr>
            <w:jc w:val="center"/>
            <w:rPr>
              <w:rFonts w:ascii="Arial" w:hAnsi="Arial" w:cs="Arial"/>
              <w:b/>
            </w:rPr>
          </w:pPr>
          <w:r>
            <w:rPr>
              <w:rFonts w:ascii="Arial" w:hAnsi="Arial" w:cs="Arial"/>
              <w:b/>
            </w:rPr>
            <w:t>Maintenance Assurance Manual</w:t>
          </w:r>
        </w:p>
        <w:p w:rsidR="0019224F" w:rsidRDefault="0019224F" w:rsidP="001A21AC">
          <w:pPr>
            <w:jc w:val="center"/>
            <w:rPr>
              <w:rFonts w:ascii="Arial" w:hAnsi="Arial" w:cs="Arial"/>
              <w:b/>
            </w:rPr>
          </w:pPr>
          <w:r>
            <w:rPr>
              <w:rFonts w:ascii="Arial" w:hAnsi="Arial" w:cs="Arial"/>
              <w:b/>
            </w:rPr>
            <w:t>WATER MAIN FLUSHING AND DISINFECTION</w:t>
          </w:r>
        </w:p>
        <w:p w:rsidR="0019224F" w:rsidRDefault="0019224F" w:rsidP="001A21AC">
          <w:pPr>
            <w:jc w:val="center"/>
            <w:rPr>
              <w:rFonts w:ascii="Arial" w:hAnsi="Arial" w:cs="Arial"/>
              <w:b/>
            </w:rPr>
          </w:pPr>
        </w:p>
      </w:tc>
      <w:tc>
        <w:tcPr>
          <w:tcW w:w="1929" w:type="dxa"/>
          <w:tcBorders>
            <w:top w:val="single" w:sz="4" w:space="0" w:color="000000"/>
            <w:left w:val="single" w:sz="4" w:space="0" w:color="000000"/>
            <w:bottom w:val="single" w:sz="4" w:space="0" w:color="000000"/>
            <w:right w:val="single" w:sz="4" w:space="0" w:color="000000"/>
          </w:tcBorders>
        </w:tcPr>
        <w:p w:rsidR="0019224F" w:rsidRDefault="0019224F" w:rsidP="001A21AC">
          <w:pPr>
            <w:snapToGrid w:val="0"/>
            <w:jc w:val="both"/>
            <w:rPr>
              <w:rFonts w:ascii="Arial" w:hAnsi="Arial" w:cs="Arial"/>
              <w:sz w:val="16"/>
              <w:szCs w:val="16"/>
            </w:rPr>
          </w:pPr>
          <w:r>
            <w:rPr>
              <w:rFonts w:ascii="Arial" w:hAnsi="Arial" w:cs="Arial"/>
              <w:sz w:val="16"/>
              <w:szCs w:val="16"/>
            </w:rPr>
            <w:t>Procedure No.: SOP1</w:t>
          </w:r>
        </w:p>
        <w:p w:rsidR="0019224F" w:rsidRDefault="0019224F" w:rsidP="001A21AC">
          <w:pPr>
            <w:jc w:val="both"/>
            <w:rPr>
              <w:rFonts w:ascii="Arial" w:hAnsi="Arial" w:cs="Arial"/>
              <w:sz w:val="16"/>
              <w:szCs w:val="16"/>
            </w:rPr>
          </w:pPr>
          <w:r>
            <w:rPr>
              <w:rFonts w:ascii="Arial" w:hAnsi="Arial" w:cs="Arial"/>
              <w:sz w:val="16"/>
              <w:szCs w:val="16"/>
            </w:rPr>
            <w:t xml:space="preserve">REV </w:t>
          </w:r>
          <w:r w:rsidR="003B7D52">
            <w:rPr>
              <w:rFonts w:ascii="Arial" w:hAnsi="Arial" w:cs="Arial"/>
              <w:sz w:val="16"/>
              <w:szCs w:val="16"/>
            </w:rPr>
            <w:t>1</w:t>
          </w:r>
        </w:p>
        <w:p w:rsidR="0019224F" w:rsidRDefault="0019224F" w:rsidP="001A21AC">
          <w:pPr>
            <w:jc w:val="both"/>
            <w:rPr>
              <w:rFonts w:ascii="Arial" w:hAnsi="Arial" w:cs="Arial"/>
              <w:sz w:val="16"/>
              <w:szCs w:val="16"/>
            </w:rPr>
          </w:pPr>
        </w:p>
        <w:p w:rsidR="0019224F" w:rsidRDefault="0019224F" w:rsidP="001A21AC">
          <w:pPr>
            <w:jc w:val="both"/>
            <w:rPr>
              <w:rFonts w:ascii="Arial" w:hAnsi="Arial" w:cs="Arial"/>
              <w:sz w:val="16"/>
              <w:szCs w:val="16"/>
            </w:rPr>
          </w:pPr>
          <w:r>
            <w:rPr>
              <w:rFonts w:ascii="Arial" w:hAnsi="Arial" w:cs="Arial"/>
              <w:sz w:val="16"/>
              <w:szCs w:val="16"/>
            </w:rPr>
            <w:t xml:space="preserve">Page                </w:t>
          </w:r>
          <w:r w:rsidRPr="007729BA">
            <w:rPr>
              <w:rFonts w:ascii="Arial" w:hAnsi="Arial" w:cs="Arial"/>
              <w:sz w:val="16"/>
              <w:szCs w:val="16"/>
            </w:rPr>
            <w:fldChar w:fldCharType="begin"/>
          </w:r>
          <w:r w:rsidRPr="007729BA">
            <w:rPr>
              <w:rFonts w:ascii="Arial" w:hAnsi="Arial" w:cs="Arial"/>
              <w:sz w:val="16"/>
              <w:szCs w:val="16"/>
            </w:rPr>
            <w:instrText xml:space="preserve"> PAGE   \* MERGEFORMAT </w:instrText>
          </w:r>
          <w:r w:rsidRPr="007729BA">
            <w:rPr>
              <w:rFonts w:ascii="Arial" w:hAnsi="Arial" w:cs="Arial"/>
              <w:sz w:val="16"/>
              <w:szCs w:val="16"/>
            </w:rPr>
            <w:fldChar w:fldCharType="separate"/>
          </w:r>
          <w:r w:rsidR="002E5FD2">
            <w:rPr>
              <w:rFonts w:ascii="Arial" w:hAnsi="Arial" w:cs="Arial"/>
              <w:noProof/>
              <w:sz w:val="16"/>
              <w:szCs w:val="16"/>
            </w:rPr>
            <w:t>1</w:t>
          </w:r>
          <w:r w:rsidRPr="007729BA">
            <w:rPr>
              <w:rFonts w:ascii="Arial" w:hAnsi="Arial" w:cs="Arial"/>
              <w:sz w:val="16"/>
              <w:szCs w:val="16"/>
            </w:rPr>
            <w:fldChar w:fldCharType="end"/>
          </w:r>
          <w:r>
            <w:rPr>
              <w:rFonts w:ascii="Arial" w:hAnsi="Arial" w:cs="Arial"/>
              <w:sz w:val="16"/>
              <w:szCs w:val="16"/>
            </w:rPr>
            <w:t xml:space="preserve"> of 4</w:t>
          </w:r>
        </w:p>
        <w:p w:rsidR="0019224F" w:rsidRDefault="0019224F" w:rsidP="001A21AC">
          <w:pPr>
            <w:jc w:val="both"/>
            <w:rPr>
              <w:rFonts w:ascii="Arial" w:hAnsi="Arial" w:cs="Arial"/>
              <w:sz w:val="16"/>
              <w:szCs w:val="16"/>
            </w:rPr>
          </w:pPr>
        </w:p>
        <w:p w:rsidR="0019224F" w:rsidRDefault="0019224F" w:rsidP="001A21AC">
          <w:pPr>
            <w:jc w:val="both"/>
            <w:rPr>
              <w:rFonts w:ascii="Arial" w:hAnsi="Arial" w:cs="Arial"/>
              <w:sz w:val="16"/>
              <w:szCs w:val="16"/>
            </w:rPr>
          </w:pPr>
        </w:p>
      </w:tc>
    </w:tr>
  </w:tbl>
  <w:p w:rsidR="0019224F" w:rsidRPr="0048746E" w:rsidRDefault="0019224F">
    <w:pPr>
      <w:pStyle w:val="Header"/>
      <w:rPr>
        <w:sz w:val="16"/>
        <w:szCs w:val="16"/>
      </w:rPr>
    </w:pPr>
  </w:p>
  <w:p w:rsidR="0019224F" w:rsidRDefault="001922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481" w:rsidRDefault="00FE6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15952688"/>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32592ED2"/>
    <w:multiLevelType w:val="hybridMultilevel"/>
    <w:tmpl w:val="B05E9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D3B07F6"/>
    <w:multiLevelType w:val="hybridMultilevel"/>
    <w:tmpl w:val="453204E0"/>
    <w:lvl w:ilvl="0" w:tplc="10090001">
      <w:start w:val="1"/>
      <w:numFmt w:val="bullet"/>
      <w:lvlText w:val=""/>
      <w:lvlJc w:val="left"/>
      <w:pPr>
        <w:ind w:left="707" w:hanging="360"/>
      </w:pPr>
      <w:rPr>
        <w:rFonts w:ascii="Symbol" w:hAnsi="Symbol" w:hint="default"/>
      </w:rPr>
    </w:lvl>
    <w:lvl w:ilvl="1" w:tplc="10090003" w:tentative="1">
      <w:start w:val="1"/>
      <w:numFmt w:val="bullet"/>
      <w:lvlText w:val="o"/>
      <w:lvlJc w:val="left"/>
      <w:pPr>
        <w:ind w:left="1427" w:hanging="360"/>
      </w:pPr>
      <w:rPr>
        <w:rFonts w:ascii="Courier New" w:hAnsi="Courier New" w:cs="Courier New" w:hint="default"/>
      </w:rPr>
    </w:lvl>
    <w:lvl w:ilvl="2" w:tplc="10090005" w:tentative="1">
      <w:start w:val="1"/>
      <w:numFmt w:val="bullet"/>
      <w:lvlText w:val=""/>
      <w:lvlJc w:val="left"/>
      <w:pPr>
        <w:ind w:left="2147" w:hanging="360"/>
      </w:pPr>
      <w:rPr>
        <w:rFonts w:ascii="Wingdings" w:hAnsi="Wingdings" w:hint="default"/>
      </w:rPr>
    </w:lvl>
    <w:lvl w:ilvl="3" w:tplc="10090001" w:tentative="1">
      <w:start w:val="1"/>
      <w:numFmt w:val="bullet"/>
      <w:lvlText w:val=""/>
      <w:lvlJc w:val="left"/>
      <w:pPr>
        <w:ind w:left="2867" w:hanging="360"/>
      </w:pPr>
      <w:rPr>
        <w:rFonts w:ascii="Symbol" w:hAnsi="Symbol" w:hint="default"/>
      </w:rPr>
    </w:lvl>
    <w:lvl w:ilvl="4" w:tplc="10090003" w:tentative="1">
      <w:start w:val="1"/>
      <w:numFmt w:val="bullet"/>
      <w:lvlText w:val="o"/>
      <w:lvlJc w:val="left"/>
      <w:pPr>
        <w:ind w:left="3587" w:hanging="360"/>
      </w:pPr>
      <w:rPr>
        <w:rFonts w:ascii="Courier New" w:hAnsi="Courier New" w:cs="Courier New" w:hint="default"/>
      </w:rPr>
    </w:lvl>
    <w:lvl w:ilvl="5" w:tplc="10090005" w:tentative="1">
      <w:start w:val="1"/>
      <w:numFmt w:val="bullet"/>
      <w:lvlText w:val=""/>
      <w:lvlJc w:val="left"/>
      <w:pPr>
        <w:ind w:left="4307" w:hanging="360"/>
      </w:pPr>
      <w:rPr>
        <w:rFonts w:ascii="Wingdings" w:hAnsi="Wingdings" w:hint="default"/>
      </w:rPr>
    </w:lvl>
    <w:lvl w:ilvl="6" w:tplc="10090001" w:tentative="1">
      <w:start w:val="1"/>
      <w:numFmt w:val="bullet"/>
      <w:lvlText w:val=""/>
      <w:lvlJc w:val="left"/>
      <w:pPr>
        <w:ind w:left="5027" w:hanging="360"/>
      </w:pPr>
      <w:rPr>
        <w:rFonts w:ascii="Symbol" w:hAnsi="Symbol" w:hint="default"/>
      </w:rPr>
    </w:lvl>
    <w:lvl w:ilvl="7" w:tplc="10090003" w:tentative="1">
      <w:start w:val="1"/>
      <w:numFmt w:val="bullet"/>
      <w:lvlText w:val="o"/>
      <w:lvlJc w:val="left"/>
      <w:pPr>
        <w:ind w:left="5747" w:hanging="360"/>
      </w:pPr>
      <w:rPr>
        <w:rFonts w:ascii="Courier New" w:hAnsi="Courier New" w:cs="Courier New" w:hint="default"/>
      </w:rPr>
    </w:lvl>
    <w:lvl w:ilvl="8" w:tplc="10090005" w:tentative="1">
      <w:start w:val="1"/>
      <w:numFmt w:val="bullet"/>
      <w:lvlText w:val=""/>
      <w:lvlJc w:val="left"/>
      <w:pPr>
        <w:ind w:left="6467" w:hanging="360"/>
      </w:pPr>
      <w:rPr>
        <w:rFonts w:ascii="Wingdings" w:hAnsi="Wingdings" w:hint="default"/>
      </w:rPr>
    </w:lvl>
  </w:abstractNum>
  <w:abstractNum w:abstractNumId="10">
    <w:nsid w:val="6A0756AD"/>
    <w:multiLevelType w:val="multilevel"/>
    <w:tmpl w:val="C8C25C52"/>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tabs>
          <w:tab w:val="num" w:pos="1429"/>
        </w:tabs>
        <w:ind w:left="1429" w:hanging="360"/>
      </w:pPr>
      <w:rPr>
        <w:rFonts w:ascii="Symbol" w:hAnsi="Symbol" w:cs="OpenSymbol"/>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Symbol" w:hAnsi="Symbol" w:cs="OpenSymbol"/>
      </w:rPr>
    </w:lvl>
    <w:lvl w:ilvl="5">
      <w:start w:val="1"/>
      <w:numFmt w:val="bullet"/>
      <w:lvlText w:val=""/>
      <w:lvlJc w:val="left"/>
      <w:pPr>
        <w:tabs>
          <w:tab w:val="num" w:pos="2869"/>
        </w:tabs>
        <w:ind w:left="2869" w:hanging="360"/>
      </w:pPr>
      <w:rPr>
        <w:rFonts w:ascii="Symbol" w:hAnsi="Symbol" w:cs="OpenSymbol"/>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Symbol" w:hAnsi="Symbol" w:cs="OpenSymbol"/>
      </w:rPr>
    </w:lvl>
    <w:lvl w:ilvl="8">
      <w:start w:val="1"/>
      <w:numFmt w:val="bullet"/>
      <w:lvlText w:val=""/>
      <w:lvlJc w:val="left"/>
      <w:pPr>
        <w:tabs>
          <w:tab w:val="num" w:pos="3949"/>
        </w:tabs>
        <w:ind w:left="3949" w:hanging="360"/>
      </w:pPr>
      <w:rPr>
        <w:rFonts w:ascii="Symbol" w:hAnsi="Symbol" w:cs="OpenSymbol"/>
      </w:rPr>
    </w:lvl>
  </w:abstractNum>
  <w:abstractNum w:abstractNumId="11">
    <w:nsid w:val="702935CC"/>
    <w:multiLevelType w:val="multilevel"/>
    <w:tmpl w:val="29888FF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7A642541"/>
    <w:multiLevelType w:val="multilevel"/>
    <w:tmpl w:val="E820C8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A1D4B"/>
    <w:rsid w:val="0019224F"/>
    <w:rsid w:val="001A21AC"/>
    <w:rsid w:val="002E5FD2"/>
    <w:rsid w:val="002F5E7B"/>
    <w:rsid w:val="003B7D52"/>
    <w:rsid w:val="003D2976"/>
    <w:rsid w:val="00415876"/>
    <w:rsid w:val="00442981"/>
    <w:rsid w:val="004609D3"/>
    <w:rsid w:val="0048746E"/>
    <w:rsid w:val="00493D56"/>
    <w:rsid w:val="00501BB1"/>
    <w:rsid w:val="00591FED"/>
    <w:rsid w:val="006F4516"/>
    <w:rsid w:val="007729BA"/>
    <w:rsid w:val="00892CE8"/>
    <w:rsid w:val="00A33123"/>
    <w:rsid w:val="00AA7FB9"/>
    <w:rsid w:val="00AD6DC1"/>
    <w:rsid w:val="00B40574"/>
    <w:rsid w:val="00B46487"/>
    <w:rsid w:val="00CC5C7F"/>
    <w:rsid w:val="00E124DF"/>
    <w:rsid w:val="00E72CDF"/>
    <w:rsid w:val="00FA1D4B"/>
    <w:rsid w:val="00FE64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9"/>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7F"/>
    <w:pPr>
      <w:widowControl w:val="0"/>
      <w:suppressAutoHyphens/>
    </w:pPr>
    <w:rPr>
      <w:rFonts w:eastAsia="Arial Unicode MS"/>
      <w:kern w:val="1"/>
      <w:sz w:val="24"/>
      <w:szCs w:val="24"/>
    </w:rPr>
  </w:style>
  <w:style w:type="paragraph" w:styleId="Heading1">
    <w:name w:val="heading 1"/>
    <w:basedOn w:val="Heading"/>
    <w:next w:val="BodyText"/>
    <w:qFormat/>
    <w:rsid w:val="00CC5C7F"/>
    <w:pPr>
      <w:tabs>
        <w:tab w:val="num" w:pos="432"/>
      </w:tabs>
      <w:ind w:left="432" w:hanging="4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CC5C7F"/>
  </w:style>
  <w:style w:type="character" w:customStyle="1" w:styleId="Bullets">
    <w:name w:val="Bullets"/>
    <w:rsid w:val="00CC5C7F"/>
    <w:rPr>
      <w:rFonts w:ascii="OpenSymbol" w:eastAsia="OpenSymbol" w:hAnsi="OpenSymbol" w:cs="OpenSymbol"/>
    </w:rPr>
  </w:style>
  <w:style w:type="paragraph" w:customStyle="1" w:styleId="Heading">
    <w:name w:val="Heading"/>
    <w:basedOn w:val="Normal"/>
    <w:next w:val="BodyText"/>
    <w:rsid w:val="00CC5C7F"/>
    <w:pPr>
      <w:keepNext/>
      <w:spacing w:before="240" w:after="120"/>
    </w:pPr>
    <w:rPr>
      <w:rFonts w:ascii="Arial" w:eastAsia="MS Mincho" w:hAnsi="Arial" w:cs="Tahoma"/>
      <w:sz w:val="28"/>
      <w:szCs w:val="28"/>
    </w:rPr>
  </w:style>
  <w:style w:type="paragraph" w:styleId="BodyText">
    <w:name w:val="Body Text"/>
    <w:basedOn w:val="Normal"/>
    <w:rsid w:val="00CC5C7F"/>
    <w:pPr>
      <w:spacing w:after="120"/>
    </w:pPr>
  </w:style>
  <w:style w:type="paragraph" w:styleId="List">
    <w:name w:val="List"/>
    <w:basedOn w:val="BodyText"/>
    <w:rsid w:val="00CC5C7F"/>
    <w:rPr>
      <w:rFonts w:cs="Tahoma"/>
    </w:rPr>
  </w:style>
  <w:style w:type="paragraph" w:styleId="Caption">
    <w:name w:val="caption"/>
    <w:basedOn w:val="Normal"/>
    <w:qFormat/>
    <w:rsid w:val="00CC5C7F"/>
    <w:pPr>
      <w:suppressLineNumbers/>
      <w:spacing w:before="120" w:after="120"/>
    </w:pPr>
    <w:rPr>
      <w:rFonts w:cs="Tahoma"/>
      <w:i/>
      <w:iCs/>
    </w:rPr>
  </w:style>
  <w:style w:type="paragraph" w:customStyle="1" w:styleId="Index">
    <w:name w:val="Index"/>
    <w:basedOn w:val="Normal"/>
    <w:rsid w:val="00CC5C7F"/>
    <w:pPr>
      <w:suppressLineNumbers/>
    </w:pPr>
    <w:rPr>
      <w:rFonts w:cs="Tahoma"/>
    </w:rPr>
  </w:style>
  <w:style w:type="paragraph" w:customStyle="1" w:styleId="HorizontalLine">
    <w:name w:val="Horizontal Line"/>
    <w:basedOn w:val="Normal"/>
    <w:next w:val="BodyText"/>
    <w:rsid w:val="00CC5C7F"/>
    <w:pPr>
      <w:suppressLineNumbers/>
      <w:pBdr>
        <w:bottom w:val="double" w:sz="1" w:space="0" w:color="808080"/>
      </w:pBdr>
      <w:spacing w:after="283"/>
    </w:pPr>
    <w:rPr>
      <w:sz w:val="12"/>
      <w:szCs w:val="12"/>
    </w:rPr>
  </w:style>
  <w:style w:type="paragraph" w:customStyle="1" w:styleId="TableContents">
    <w:name w:val="Table Contents"/>
    <w:basedOn w:val="Normal"/>
    <w:rsid w:val="00CC5C7F"/>
    <w:pPr>
      <w:suppressLineNumbers/>
    </w:pPr>
  </w:style>
  <w:style w:type="paragraph" w:customStyle="1" w:styleId="TableHeading">
    <w:name w:val="Table Heading"/>
    <w:basedOn w:val="TableContents"/>
    <w:rsid w:val="00CC5C7F"/>
    <w:pPr>
      <w:jc w:val="center"/>
    </w:pPr>
    <w:rPr>
      <w:b/>
      <w:bCs/>
    </w:rPr>
  </w:style>
  <w:style w:type="paragraph" w:styleId="Header">
    <w:name w:val="header"/>
    <w:basedOn w:val="Normal"/>
    <w:link w:val="HeaderChar"/>
    <w:uiPriority w:val="99"/>
    <w:unhideWhenUsed/>
    <w:rsid w:val="007729BA"/>
    <w:pPr>
      <w:tabs>
        <w:tab w:val="center" w:pos="4680"/>
        <w:tab w:val="right" w:pos="9360"/>
      </w:tabs>
    </w:pPr>
  </w:style>
  <w:style w:type="character" w:customStyle="1" w:styleId="HeaderChar">
    <w:name w:val="Header Char"/>
    <w:basedOn w:val="DefaultParagraphFont"/>
    <w:link w:val="Header"/>
    <w:uiPriority w:val="99"/>
    <w:rsid w:val="007729BA"/>
    <w:rPr>
      <w:rFonts w:eastAsia="Arial Unicode MS"/>
      <w:kern w:val="1"/>
      <w:sz w:val="24"/>
      <w:szCs w:val="24"/>
    </w:rPr>
  </w:style>
  <w:style w:type="paragraph" w:styleId="Footer">
    <w:name w:val="footer"/>
    <w:basedOn w:val="Normal"/>
    <w:link w:val="FooterChar"/>
    <w:uiPriority w:val="99"/>
    <w:unhideWhenUsed/>
    <w:rsid w:val="007729BA"/>
    <w:pPr>
      <w:tabs>
        <w:tab w:val="center" w:pos="4680"/>
        <w:tab w:val="right" w:pos="9360"/>
      </w:tabs>
    </w:pPr>
  </w:style>
  <w:style w:type="character" w:customStyle="1" w:styleId="FooterChar">
    <w:name w:val="Footer Char"/>
    <w:basedOn w:val="DefaultParagraphFont"/>
    <w:link w:val="Footer"/>
    <w:uiPriority w:val="99"/>
    <w:rsid w:val="007729BA"/>
    <w:rPr>
      <w:rFonts w:eastAsia="Arial Unicode MS"/>
      <w:kern w:val="1"/>
      <w:sz w:val="24"/>
      <w:szCs w:val="24"/>
    </w:rPr>
  </w:style>
  <w:style w:type="paragraph" w:styleId="BalloonText">
    <w:name w:val="Balloon Text"/>
    <w:basedOn w:val="Normal"/>
    <w:link w:val="BalloonTextChar"/>
    <w:uiPriority w:val="99"/>
    <w:semiHidden/>
    <w:unhideWhenUsed/>
    <w:rsid w:val="007729BA"/>
    <w:rPr>
      <w:rFonts w:ascii="Tahoma" w:hAnsi="Tahoma" w:cs="Tahoma"/>
      <w:sz w:val="16"/>
      <w:szCs w:val="16"/>
    </w:rPr>
  </w:style>
  <w:style w:type="character" w:customStyle="1" w:styleId="BalloonTextChar">
    <w:name w:val="Balloon Text Char"/>
    <w:basedOn w:val="DefaultParagraphFont"/>
    <w:link w:val="BalloonText"/>
    <w:uiPriority w:val="99"/>
    <w:semiHidden/>
    <w:rsid w:val="007729BA"/>
    <w:rPr>
      <w:rFonts w:ascii="Tahoma" w:eastAsia="Arial Unicode MS"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Sargent</dc:creator>
  <cp:lastModifiedBy>Andrews, Ruth S.</cp:lastModifiedBy>
  <cp:revision>12</cp:revision>
  <cp:lastPrinted>2009-11-12T18:56:00Z</cp:lastPrinted>
  <dcterms:created xsi:type="dcterms:W3CDTF">2009-11-12T18:57:00Z</dcterms:created>
  <dcterms:modified xsi:type="dcterms:W3CDTF">2016-01-15T17:36:00Z</dcterms:modified>
</cp:coreProperties>
</file>