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AD02A" w14:textId="2F2BE9EF" w:rsidR="00092C48" w:rsidRPr="00C04B57" w:rsidRDefault="009D3201" w:rsidP="00092C48">
      <w:pPr>
        <w:jc w:val="right"/>
        <w:rPr>
          <w:rStyle w:val="SubtleEmphasis"/>
          <w:lang w:val="fr-CA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42BA4CAB" wp14:editId="7198D50F">
            <wp:simplePos x="0" y="0"/>
            <wp:positionH relativeFrom="column">
              <wp:posOffset>-209550</wp:posOffset>
            </wp:positionH>
            <wp:positionV relativeFrom="paragraph">
              <wp:posOffset>-447675</wp:posOffset>
            </wp:positionV>
            <wp:extent cx="1257300" cy="786130"/>
            <wp:effectExtent l="0" t="0" r="0" b="0"/>
            <wp:wrapNone/>
            <wp:docPr id="1" name="Picture 1" descr="NFL Logo Fr CMYK Uncoated (F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FL Logo Fr CMYK Uncoated (Fr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786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C48">
        <w:rPr>
          <w:rStyle w:val="SubtleEmphasis"/>
          <w:lang w:val="fr-CA"/>
        </w:rPr>
        <w:t>Gouvernement de Terre-Neuve-et-Labrador</w:t>
      </w:r>
    </w:p>
    <w:p w14:paraId="1B60C549" w14:textId="77777777" w:rsidR="00092C48" w:rsidRPr="00C04B57" w:rsidRDefault="00092C48" w:rsidP="00092C48">
      <w:pPr>
        <w:jc w:val="right"/>
        <w:rPr>
          <w:rStyle w:val="SubtleEmphasis"/>
          <w:lang w:val="fr-CA"/>
        </w:rPr>
      </w:pPr>
      <w:r>
        <w:rPr>
          <w:rStyle w:val="SubtleEmphasis"/>
          <w:lang w:val="fr-CA"/>
        </w:rPr>
        <w:t>Ministère des Enfants, des Aînés et du Développement social</w:t>
      </w:r>
    </w:p>
    <w:p w14:paraId="6A7D35D1" w14:textId="77777777" w:rsidR="00092C48" w:rsidRPr="00C04B57" w:rsidRDefault="00092C48" w:rsidP="00092C48">
      <w:pPr>
        <w:rPr>
          <w:lang w:val="fr-CA"/>
        </w:rPr>
      </w:pPr>
    </w:p>
    <w:p w14:paraId="60868AE2" w14:textId="77777777" w:rsidR="00092C48" w:rsidRPr="00C04B57" w:rsidRDefault="00092C48" w:rsidP="00092C48">
      <w:pPr>
        <w:rPr>
          <w:lang w:val="fr-CA"/>
        </w:rPr>
      </w:pPr>
    </w:p>
    <w:p w14:paraId="248AF8E3" w14:textId="77777777" w:rsidR="00092C48" w:rsidRPr="00C04B57" w:rsidRDefault="00092C48" w:rsidP="00092C48">
      <w:pPr>
        <w:rPr>
          <w:lang w:val="fr-CA"/>
        </w:rPr>
      </w:pPr>
    </w:p>
    <w:p w14:paraId="027AEED1" w14:textId="77777777" w:rsidR="00092C48" w:rsidRPr="00C04B57" w:rsidRDefault="00092C48" w:rsidP="00092C48">
      <w:pPr>
        <w:pStyle w:val="Title"/>
        <w:rPr>
          <w:lang w:val="fr-CA"/>
        </w:rPr>
      </w:pPr>
      <w:r>
        <w:rPr>
          <w:bCs/>
          <w:lang w:val="fr-CA"/>
        </w:rPr>
        <w:t>Financement en matière de véhicules accessibles</w:t>
      </w:r>
    </w:p>
    <w:p w14:paraId="41286CF1" w14:textId="77777777" w:rsidR="00092C48" w:rsidRPr="00C04B57" w:rsidRDefault="00092C48" w:rsidP="00092C48">
      <w:pPr>
        <w:pStyle w:val="Title"/>
        <w:rPr>
          <w:lang w:val="fr-CA"/>
        </w:rPr>
      </w:pPr>
      <w:r>
        <w:rPr>
          <w:bCs/>
          <w:lang w:val="fr-CA"/>
        </w:rPr>
        <w:t>Fiche d’information</w:t>
      </w:r>
    </w:p>
    <w:p w14:paraId="46E8290D" w14:textId="77777777" w:rsidR="00092C48" w:rsidRPr="00C04B57" w:rsidRDefault="00092C48" w:rsidP="00092C48">
      <w:pPr>
        <w:pStyle w:val="Subtitle"/>
        <w:rPr>
          <w:lang w:val="fr-CA"/>
        </w:rPr>
      </w:pPr>
      <w:r>
        <w:rPr>
          <w:lang w:val="fr-CA"/>
        </w:rPr>
        <w:t>(Subventions maximales de 25 000 $ pour l’accessibilité)</w:t>
      </w:r>
    </w:p>
    <w:p w14:paraId="537BBDD9" w14:textId="77777777" w:rsidR="00092C48" w:rsidRPr="00C04B57" w:rsidRDefault="00092C48" w:rsidP="00092C48">
      <w:pPr>
        <w:rPr>
          <w:lang w:val="fr-CA"/>
        </w:rPr>
      </w:pPr>
    </w:p>
    <w:p w14:paraId="4D2F1DC6" w14:textId="70795D4E" w:rsidR="00092C48" w:rsidRPr="00C04B57" w:rsidRDefault="00092C48" w:rsidP="00092C48">
      <w:pPr>
        <w:jc w:val="center"/>
        <w:rPr>
          <w:rStyle w:val="Emphasis"/>
          <w:lang w:val="fr-CA"/>
        </w:rPr>
      </w:pPr>
      <w:r>
        <w:rPr>
          <w:rStyle w:val="Emphasis"/>
          <w:bCs/>
          <w:lang w:val="fr-CA"/>
        </w:rPr>
        <w:t xml:space="preserve">Les demandes soumises sont examinées et traitées dans l’ordre (date et heure) dans lequel elles sont reçues. Les approbations </w:t>
      </w:r>
      <w:r w:rsidR="00C51AB3">
        <w:rPr>
          <w:rStyle w:val="Emphasis"/>
          <w:bCs/>
          <w:lang w:val="fr-CA"/>
        </w:rPr>
        <w:t>dépendent de</w:t>
      </w:r>
      <w:r>
        <w:rPr>
          <w:rStyle w:val="Emphasis"/>
          <w:bCs/>
          <w:lang w:val="fr-CA"/>
        </w:rPr>
        <w:t xml:space="preserve"> la disponibilité des fonds.</w:t>
      </w:r>
    </w:p>
    <w:p w14:paraId="23961D02" w14:textId="77777777" w:rsidR="00092C48" w:rsidRPr="00C04B57" w:rsidRDefault="00092C48" w:rsidP="00092C48">
      <w:pPr>
        <w:rPr>
          <w:lang w:val="fr-CA"/>
        </w:rPr>
      </w:pPr>
    </w:p>
    <w:p w14:paraId="50E394AA" w14:textId="77777777" w:rsidR="00092C48" w:rsidRPr="00C04B57" w:rsidRDefault="00092C48" w:rsidP="00092C48">
      <w:pPr>
        <w:rPr>
          <w:lang w:val="fr-CA"/>
        </w:rPr>
      </w:pPr>
    </w:p>
    <w:p w14:paraId="45CB2DC7" w14:textId="77777777" w:rsidR="00092C48" w:rsidRPr="00C04B57" w:rsidRDefault="00092C48" w:rsidP="00092C48">
      <w:pPr>
        <w:pStyle w:val="Heading1"/>
        <w:rPr>
          <w:lang w:val="fr-CA"/>
        </w:rPr>
      </w:pPr>
      <w:r>
        <w:rPr>
          <w:bCs/>
          <w:lang w:val="fr-CA"/>
        </w:rPr>
        <w:t>Objectif</w:t>
      </w:r>
    </w:p>
    <w:p w14:paraId="1EA7F3FA" w14:textId="35CD7B6D" w:rsidR="00092C48" w:rsidRPr="00C04B57" w:rsidRDefault="00092C48" w:rsidP="00092C48">
      <w:pPr>
        <w:rPr>
          <w:lang w:val="fr-CA"/>
        </w:rPr>
      </w:pPr>
      <w:r>
        <w:rPr>
          <w:lang w:val="fr-CA"/>
        </w:rPr>
        <w:t>Offrir une option de transport accessible aux personnes et aux familles de la province et réduire les coûts associés au</w:t>
      </w:r>
      <w:r w:rsidR="001720F2">
        <w:rPr>
          <w:lang w:val="fr-CA"/>
        </w:rPr>
        <w:t>x</w:t>
      </w:r>
      <w:r>
        <w:rPr>
          <w:lang w:val="fr-CA"/>
        </w:rPr>
        <w:t xml:space="preserve"> handicap</w:t>
      </w:r>
      <w:r w:rsidR="001720F2">
        <w:rPr>
          <w:lang w:val="fr-CA"/>
        </w:rPr>
        <w:t>s</w:t>
      </w:r>
      <w:r>
        <w:rPr>
          <w:lang w:val="fr-CA"/>
        </w:rPr>
        <w:t>.</w:t>
      </w:r>
    </w:p>
    <w:p w14:paraId="2C4778A4" w14:textId="77777777" w:rsidR="00092C48" w:rsidRPr="00C04B57" w:rsidRDefault="00092C48" w:rsidP="00092C48">
      <w:pPr>
        <w:rPr>
          <w:lang w:val="fr-CA"/>
        </w:rPr>
      </w:pPr>
    </w:p>
    <w:p w14:paraId="4CEBF59B" w14:textId="77777777" w:rsidR="00092C48" w:rsidRPr="00C04B57" w:rsidRDefault="00092C48" w:rsidP="00BB4821">
      <w:pPr>
        <w:pStyle w:val="Heading1"/>
        <w:rPr>
          <w:lang w:val="fr-CA"/>
        </w:rPr>
      </w:pPr>
      <w:r>
        <w:rPr>
          <w:bCs/>
          <w:lang w:val="fr-CA"/>
        </w:rPr>
        <w:t>Qui est admissible?</w:t>
      </w:r>
    </w:p>
    <w:p w14:paraId="133A26D5" w14:textId="77777777" w:rsidR="00092C48" w:rsidRPr="00C04B57" w:rsidRDefault="00092C48" w:rsidP="00092C48">
      <w:pPr>
        <w:rPr>
          <w:lang w:val="fr-CA"/>
        </w:rPr>
      </w:pPr>
      <w:r>
        <w:rPr>
          <w:lang w:val="fr-CA"/>
        </w:rPr>
        <w:t>Les personnes ou les familles qui souhaitent acquérir ou adapter des véhicules personnels pour les rendre accessibles.</w:t>
      </w:r>
    </w:p>
    <w:p w14:paraId="38F085F5" w14:textId="77777777" w:rsidR="00092C48" w:rsidRPr="00C04B57" w:rsidRDefault="00092C48" w:rsidP="00092C48">
      <w:pPr>
        <w:rPr>
          <w:lang w:val="fr-CA"/>
        </w:rPr>
      </w:pPr>
    </w:p>
    <w:p w14:paraId="7E4FD3E7" w14:textId="77777777" w:rsidR="00092C48" w:rsidRPr="00C04B57" w:rsidRDefault="00092C48" w:rsidP="00BB4821">
      <w:pPr>
        <w:pStyle w:val="Heading1"/>
        <w:rPr>
          <w:lang w:val="fr-CA"/>
        </w:rPr>
      </w:pPr>
      <w:r>
        <w:rPr>
          <w:bCs/>
          <w:lang w:val="fr-CA"/>
        </w:rPr>
        <w:t>Quel est le montant du financement?</w:t>
      </w:r>
    </w:p>
    <w:p w14:paraId="57814532" w14:textId="77777777" w:rsidR="00092C48" w:rsidRPr="00C04B57" w:rsidRDefault="00092C48" w:rsidP="00092C48">
      <w:pPr>
        <w:rPr>
          <w:lang w:val="fr-CA"/>
        </w:rPr>
      </w:pPr>
      <w:r>
        <w:rPr>
          <w:lang w:val="fr-CA"/>
        </w:rPr>
        <w:t>Le financement en matière de véhicules accessibles :</w:t>
      </w:r>
    </w:p>
    <w:p w14:paraId="154867CF" w14:textId="77777777" w:rsidR="00092C48" w:rsidRPr="00C04B57" w:rsidRDefault="00092C48" w:rsidP="00BB4821">
      <w:pPr>
        <w:pStyle w:val="ListParagraph"/>
        <w:numPr>
          <w:ilvl w:val="0"/>
          <w:numId w:val="5"/>
        </w:numPr>
        <w:rPr>
          <w:lang w:val="fr-CA"/>
        </w:rPr>
      </w:pPr>
      <w:proofErr w:type="gramStart"/>
      <w:r>
        <w:rPr>
          <w:lang w:val="fr-CA"/>
        </w:rPr>
        <w:t>prévoit</w:t>
      </w:r>
      <w:proofErr w:type="gramEnd"/>
      <w:r>
        <w:rPr>
          <w:lang w:val="fr-CA"/>
        </w:rPr>
        <w:t xml:space="preserve"> un financement maximal de 25 000 $;</w:t>
      </w:r>
    </w:p>
    <w:p w14:paraId="15C31F1B" w14:textId="77777777" w:rsidR="00092C48" w:rsidRPr="00C04B57" w:rsidRDefault="00092C48" w:rsidP="00BB4821">
      <w:pPr>
        <w:pStyle w:val="ListParagraph"/>
        <w:numPr>
          <w:ilvl w:val="0"/>
          <w:numId w:val="5"/>
        </w:numPr>
        <w:rPr>
          <w:lang w:val="fr-CA"/>
        </w:rPr>
      </w:pPr>
      <w:proofErr w:type="gramStart"/>
      <w:r>
        <w:rPr>
          <w:lang w:val="fr-CA"/>
        </w:rPr>
        <w:t>est</w:t>
      </w:r>
      <w:proofErr w:type="gramEnd"/>
      <w:r>
        <w:rPr>
          <w:lang w:val="fr-CA"/>
        </w:rPr>
        <w:t xml:space="preserve"> soumis à un examen des revenus afin de déterminer l’admissibilité financière des demandeurs;</w:t>
      </w:r>
    </w:p>
    <w:p w14:paraId="798D1D68" w14:textId="77777777" w:rsidR="00092C48" w:rsidRPr="00C04B57" w:rsidRDefault="00092C48" w:rsidP="00BB4821">
      <w:pPr>
        <w:pStyle w:val="ListParagraph"/>
        <w:numPr>
          <w:ilvl w:val="0"/>
          <w:numId w:val="5"/>
        </w:numPr>
        <w:rPr>
          <w:lang w:val="fr-CA"/>
        </w:rPr>
      </w:pPr>
      <w:proofErr w:type="gramStart"/>
      <w:r>
        <w:rPr>
          <w:lang w:val="fr-CA"/>
        </w:rPr>
        <w:t>prévoit</w:t>
      </w:r>
      <w:proofErr w:type="gramEnd"/>
      <w:r>
        <w:rPr>
          <w:lang w:val="fr-CA"/>
        </w:rPr>
        <w:t xml:space="preserve"> un financement à hauteur de 100 %, jusqu’à 25 000 $, aux demandeurs admissibles dont le revenu annuel net est inférieur ou égal à 46 500 $;</w:t>
      </w:r>
    </w:p>
    <w:p w14:paraId="35AE0D60" w14:textId="77777777" w:rsidR="00092C48" w:rsidRPr="00C04B57" w:rsidRDefault="00092C48" w:rsidP="00BB4821">
      <w:pPr>
        <w:pStyle w:val="ListParagraph"/>
        <w:numPr>
          <w:ilvl w:val="0"/>
          <w:numId w:val="5"/>
        </w:numPr>
        <w:rPr>
          <w:lang w:val="fr-CA"/>
        </w:rPr>
      </w:pPr>
      <w:proofErr w:type="gramStart"/>
      <w:r>
        <w:rPr>
          <w:lang w:val="fr-CA"/>
        </w:rPr>
        <w:t>prévoit</w:t>
      </w:r>
      <w:proofErr w:type="gramEnd"/>
      <w:r>
        <w:rPr>
          <w:lang w:val="fr-CA"/>
        </w:rPr>
        <w:t xml:space="preserve"> un financement partiel aux demandeurs admissibles dont le revenu annuel net se situe entre 46 500 et 64 000 $;</w:t>
      </w:r>
    </w:p>
    <w:p w14:paraId="7143F99C" w14:textId="492A9ACE" w:rsidR="00092C48" w:rsidRPr="00C04B57" w:rsidRDefault="00092C48" w:rsidP="00BB4821">
      <w:pPr>
        <w:pStyle w:val="ListParagraph"/>
        <w:numPr>
          <w:ilvl w:val="1"/>
          <w:numId w:val="5"/>
        </w:numPr>
        <w:rPr>
          <w:lang w:val="fr-CA"/>
        </w:rPr>
      </w:pPr>
      <w:proofErr w:type="gramStart"/>
      <w:r>
        <w:rPr>
          <w:lang w:val="fr-CA"/>
        </w:rPr>
        <w:t>utilise</w:t>
      </w:r>
      <w:proofErr w:type="gramEnd"/>
      <w:r>
        <w:rPr>
          <w:lang w:val="fr-CA"/>
        </w:rPr>
        <w:t xml:space="preserve"> une formule à échelle variable pour déterminer le montant du financement auquel le demandeur est admissible (</w:t>
      </w:r>
      <w:r w:rsidR="00246053">
        <w:rPr>
          <w:lang w:val="fr-CA"/>
        </w:rPr>
        <w:t xml:space="preserve">voir le </w:t>
      </w:r>
      <w:r>
        <w:rPr>
          <w:lang w:val="fr-CA"/>
        </w:rPr>
        <w:t>Manuel de politique de financement des véhicules accessibles, Annexe A – Calcul de l’échelle variable);</w:t>
      </w:r>
    </w:p>
    <w:p w14:paraId="57CBB86D" w14:textId="1960E6B0" w:rsidR="00092C48" w:rsidRPr="00C04B57" w:rsidRDefault="00092C48" w:rsidP="00BB4821">
      <w:pPr>
        <w:pStyle w:val="ListParagraph"/>
        <w:numPr>
          <w:ilvl w:val="0"/>
          <w:numId w:val="5"/>
        </w:numPr>
        <w:rPr>
          <w:lang w:val="fr-CA"/>
        </w:rPr>
      </w:pPr>
      <w:proofErr w:type="gramStart"/>
      <w:r>
        <w:rPr>
          <w:lang w:val="fr-CA"/>
        </w:rPr>
        <w:t>tient</w:t>
      </w:r>
      <w:proofErr w:type="gramEnd"/>
      <w:r>
        <w:rPr>
          <w:lang w:val="fr-CA"/>
        </w:rPr>
        <w:t xml:space="preserve"> compte des coûts liés au handicap, qui ne sont pas actuellement couverts par une autre source de financement, pour déterminer l’admissibilité financière. (</w:t>
      </w:r>
      <w:r w:rsidR="00246053">
        <w:rPr>
          <w:lang w:val="fr-CA"/>
        </w:rPr>
        <w:t xml:space="preserve">voir le </w:t>
      </w:r>
      <w:r>
        <w:rPr>
          <w:lang w:val="fr-CA"/>
        </w:rPr>
        <w:t>Manuel de politique de financement des véhicules accessibles, Annexe B – Coûts liés au handicap)</w:t>
      </w:r>
      <w:r>
        <w:rPr>
          <w:lang w:val="fr-CA"/>
        </w:rPr>
        <w:tab/>
        <w:t xml:space="preserve"> </w:t>
      </w:r>
    </w:p>
    <w:p w14:paraId="3D6F1706" w14:textId="77777777" w:rsidR="00BB4821" w:rsidRPr="00C04B57" w:rsidRDefault="00BB4821" w:rsidP="00092C48">
      <w:pPr>
        <w:rPr>
          <w:lang w:val="fr-CA"/>
        </w:rPr>
      </w:pPr>
    </w:p>
    <w:p w14:paraId="69D30A75" w14:textId="77777777" w:rsidR="00092C48" w:rsidRPr="00C04B57" w:rsidRDefault="00092C48" w:rsidP="00BB4821">
      <w:pPr>
        <w:pStyle w:val="Heading1"/>
        <w:rPr>
          <w:lang w:val="fr-CA"/>
        </w:rPr>
      </w:pPr>
      <w:r>
        <w:rPr>
          <w:bCs/>
          <w:lang w:val="fr-CA"/>
        </w:rPr>
        <w:t>Ce qui peut être financé</w:t>
      </w:r>
    </w:p>
    <w:p w14:paraId="60451D11" w14:textId="77777777" w:rsidR="00092C48" w:rsidRPr="00C04B57" w:rsidRDefault="00092C48" w:rsidP="00092C48">
      <w:pPr>
        <w:rPr>
          <w:lang w:val="fr-CA"/>
        </w:rPr>
      </w:pPr>
    </w:p>
    <w:p w14:paraId="56790AF6" w14:textId="01427634" w:rsidR="00092C48" w:rsidRPr="00C04B57" w:rsidRDefault="00092C48" w:rsidP="00BB4821">
      <w:pPr>
        <w:pStyle w:val="Heading2"/>
        <w:rPr>
          <w:lang w:val="fr-CA"/>
        </w:rPr>
      </w:pPr>
      <w:r>
        <w:rPr>
          <w:bCs/>
          <w:lang w:val="fr-CA"/>
        </w:rPr>
        <w:t xml:space="preserve">Nouvelles </w:t>
      </w:r>
      <w:r w:rsidR="0032104F">
        <w:rPr>
          <w:bCs/>
          <w:lang w:val="fr-CA"/>
        </w:rPr>
        <w:t>a</w:t>
      </w:r>
      <w:r w:rsidR="00246053">
        <w:rPr>
          <w:bCs/>
          <w:lang w:val="fr-CA"/>
        </w:rPr>
        <w:t>daptations</w:t>
      </w:r>
    </w:p>
    <w:p w14:paraId="7CA66DE2" w14:textId="77777777" w:rsidR="00BB4821" w:rsidRPr="00C04B57" w:rsidRDefault="00092C48" w:rsidP="00BB4821">
      <w:pPr>
        <w:pStyle w:val="ListParagraph"/>
        <w:numPr>
          <w:ilvl w:val="0"/>
          <w:numId w:val="8"/>
        </w:numPr>
        <w:rPr>
          <w:lang w:val="fr-CA"/>
        </w:rPr>
      </w:pPr>
      <w:r>
        <w:rPr>
          <w:lang w:val="fr-CA"/>
        </w:rPr>
        <w:lastRenderedPageBreak/>
        <w:t>Subventions pour l’achat ou l’installation d’éléments d’accessibilité admissibles tels que :</w:t>
      </w:r>
    </w:p>
    <w:p w14:paraId="17D2743C" w14:textId="77777777" w:rsidR="00BB4821" w:rsidRDefault="00092C48" w:rsidP="00BB4821">
      <w:pPr>
        <w:pStyle w:val="ListParagraph"/>
        <w:numPr>
          <w:ilvl w:val="1"/>
          <w:numId w:val="8"/>
        </w:numPr>
      </w:pPr>
      <w:r>
        <w:rPr>
          <w:lang w:val="fr-CA"/>
        </w:rPr>
        <w:t>sièges personnalisés;</w:t>
      </w:r>
    </w:p>
    <w:p w14:paraId="7FC1E275" w14:textId="77777777" w:rsidR="00092C48" w:rsidRDefault="00092C48" w:rsidP="00BB4821">
      <w:pPr>
        <w:pStyle w:val="ListParagraph"/>
        <w:numPr>
          <w:ilvl w:val="1"/>
          <w:numId w:val="8"/>
        </w:numPr>
      </w:pPr>
      <w:r>
        <w:rPr>
          <w:lang w:val="fr-CA"/>
        </w:rPr>
        <w:t>commandes manuelles;</w:t>
      </w:r>
    </w:p>
    <w:p w14:paraId="4C199957" w14:textId="77777777" w:rsidR="00092C48" w:rsidRPr="00C04B57" w:rsidRDefault="00092C48" w:rsidP="00BB4821">
      <w:pPr>
        <w:pStyle w:val="ListParagraph"/>
        <w:numPr>
          <w:ilvl w:val="1"/>
          <w:numId w:val="8"/>
        </w:numPr>
        <w:rPr>
          <w:lang w:val="fr-CA"/>
        </w:rPr>
      </w:pPr>
      <w:r>
        <w:rPr>
          <w:lang w:val="fr-CA"/>
        </w:rPr>
        <w:t>pédales d’accélérateur pour pied gauche;</w:t>
      </w:r>
    </w:p>
    <w:p w14:paraId="0D1C7BBF" w14:textId="77777777" w:rsidR="00092C48" w:rsidRDefault="00092C48" w:rsidP="00BB4821">
      <w:pPr>
        <w:pStyle w:val="ListParagraph"/>
        <w:numPr>
          <w:ilvl w:val="1"/>
          <w:numId w:val="8"/>
        </w:numPr>
      </w:pPr>
      <w:r>
        <w:rPr>
          <w:lang w:val="fr-CA"/>
        </w:rPr>
        <w:t>ascenseurs et rampes;</w:t>
      </w:r>
    </w:p>
    <w:p w14:paraId="18C3F966" w14:textId="12D5879D" w:rsidR="00092C48" w:rsidRPr="00C04B57" w:rsidRDefault="00092C48" w:rsidP="00BB4821">
      <w:pPr>
        <w:pStyle w:val="ListParagraph"/>
        <w:numPr>
          <w:ilvl w:val="1"/>
          <w:numId w:val="8"/>
        </w:numPr>
        <w:rPr>
          <w:lang w:val="fr-CA"/>
        </w:rPr>
      </w:pPr>
      <w:r>
        <w:rPr>
          <w:lang w:val="fr-CA"/>
        </w:rPr>
        <w:t>modification du toit, du plancher et des portes (</w:t>
      </w:r>
      <w:r w:rsidR="00246053">
        <w:rPr>
          <w:lang w:val="fr-CA"/>
        </w:rPr>
        <w:t xml:space="preserve">adaptation </w:t>
      </w:r>
      <w:r>
        <w:rPr>
          <w:lang w:val="fr-CA"/>
        </w:rPr>
        <w:t>accessible);</w:t>
      </w:r>
    </w:p>
    <w:p w14:paraId="31437B92" w14:textId="77777777" w:rsidR="00092C48" w:rsidRDefault="00092C48" w:rsidP="00BB4821">
      <w:pPr>
        <w:pStyle w:val="ListParagraph"/>
        <w:numPr>
          <w:ilvl w:val="1"/>
          <w:numId w:val="8"/>
        </w:numPr>
      </w:pPr>
      <w:r>
        <w:rPr>
          <w:lang w:val="fr-CA"/>
        </w:rPr>
        <w:t>dispositif de conduite;</w:t>
      </w:r>
    </w:p>
    <w:p w14:paraId="04E86EC1" w14:textId="77777777" w:rsidR="00092C48" w:rsidRPr="00C04B57" w:rsidRDefault="00092C48" w:rsidP="00BB4821">
      <w:pPr>
        <w:pStyle w:val="ListParagraph"/>
        <w:numPr>
          <w:ilvl w:val="1"/>
          <w:numId w:val="8"/>
        </w:numPr>
        <w:rPr>
          <w:lang w:val="fr-CA"/>
        </w:rPr>
      </w:pPr>
      <w:r>
        <w:rPr>
          <w:lang w:val="fr-CA"/>
        </w:rPr>
        <w:t>systèmes de fixation des fauteuils roulants;</w:t>
      </w:r>
    </w:p>
    <w:p w14:paraId="63ED8601" w14:textId="77777777" w:rsidR="00092C48" w:rsidRDefault="00092C48" w:rsidP="00BB4821">
      <w:pPr>
        <w:pStyle w:val="ListParagraph"/>
        <w:numPr>
          <w:ilvl w:val="1"/>
          <w:numId w:val="8"/>
        </w:numPr>
      </w:pPr>
      <w:r>
        <w:rPr>
          <w:lang w:val="fr-CA"/>
        </w:rPr>
        <w:t>frais d’expédition et d’installation;</w:t>
      </w:r>
    </w:p>
    <w:p w14:paraId="2A3AAE6E" w14:textId="77777777" w:rsidR="00092C48" w:rsidRPr="00C04B57" w:rsidRDefault="00092C48" w:rsidP="00BB4821">
      <w:pPr>
        <w:pStyle w:val="ListParagraph"/>
        <w:numPr>
          <w:ilvl w:val="1"/>
          <w:numId w:val="8"/>
        </w:numPr>
        <w:rPr>
          <w:lang w:val="fr-CA"/>
        </w:rPr>
      </w:pPr>
      <w:r>
        <w:rPr>
          <w:lang w:val="fr-CA"/>
        </w:rPr>
        <w:t>entretien de matériel qui n’est plus sous garantie.</w:t>
      </w:r>
    </w:p>
    <w:p w14:paraId="2842722D" w14:textId="77777777" w:rsidR="00092C48" w:rsidRPr="00C04B57" w:rsidRDefault="00092C48" w:rsidP="00BB4821">
      <w:pPr>
        <w:pStyle w:val="ListParagraph"/>
        <w:numPr>
          <w:ilvl w:val="0"/>
          <w:numId w:val="8"/>
        </w:numPr>
        <w:rPr>
          <w:lang w:val="fr-CA"/>
        </w:rPr>
      </w:pPr>
      <w:r>
        <w:rPr>
          <w:lang w:val="fr-CA"/>
        </w:rPr>
        <w:t>Les approbations reflètent l’option la plus rentable dans la mesure du possible.</w:t>
      </w:r>
    </w:p>
    <w:p w14:paraId="1822F560" w14:textId="77777777" w:rsidR="00092C48" w:rsidRPr="00C04B57" w:rsidRDefault="00092C48" w:rsidP="00092C48">
      <w:pPr>
        <w:rPr>
          <w:lang w:val="fr-CA"/>
        </w:rPr>
      </w:pPr>
    </w:p>
    <w:p w14:paraId="102C333A" w14:textId="657A12D8" w:rsidR="00092C48" w:rsidRDefault="0032104F" w:rsidP="00BB4821">
      <w:pPr>
        <w:pStyle w:val="Heading2"/>
      </w:pPr>
      <w:r>
        <w:rPr>
          <w:bCs/>
          <w:lang w:val="fr-CA"/>
        </w:rPr>
        <w:t>A</w:t>
      </w:r>
      <w:r w:rsidR="00246053">
        <w:rPr>
          <w:bCs/>
          <w:lang w:val="fr-CA"/>
        </w:rPr>
        <w:t>daptations</w:t>
      </w:r>
      <w:r w:rsidR="00092C48">
        <w:rPr>
          <w:bCs/>
          <w:lang w:val="fr-CA"/>
        </w:rPr>
        <w:t xml:space="preserve"> existantes</w:t>
      </w:r>
    </w:p>
    <w:p w14:paraId="0AB5F943" w14:textId="0FEA008D" w:rsidR="00092C48" w:rsidRPr="00C04B57" w:rsidRDefault="00092C48" w:rsidP="00BB4821">
      <w:pPr>
        <w:pStyle w:val="ListParagraph"/>
        <w:numPr>
          <w:ilvl w:val="0"/>
          <w:numId w:val="9"/>
        </w:numPr>
        <w:rPr>
          <w:lang w:val="fr-CA"/>
        </w:rPr>
      </w:pPr>
      <w:r>
        <w:rPr>
          <w:lang w:val="fr-CA"/>
        </w:rPr>
        <w:t xml:space="preserve">Les subventions partielles pour les véhicules déjà </w:t>
      </w:r>
      <w:r w:rsidR="0032104F">
        <w:rPr>
          <w:lang w:val="fr-CA"/>
        </w:rPr>
        <w:t>adaptés</w:t>
      </w:r>
      <w:r>
        <w:rPr>
          <w:lang w:val="fr-CA"/>
        </w:rPr>
        <w:t xml:space="preserve"> sont basées sur la valeur actuelle de l</w:t>
      </w:r>
      <w:r w:rsidR="0032104F">
        <w:rPr>
          <w:lang w:val="fr-CA"/>
        </w:rPr>
        <w:t>’adaptation</w:t>
      </w:r>
      <w:r>
        <w:rPr>
          <w:lang w:val="fr-CA"/>
        </w:rPr>
        <w:t>. Les valeurs d</w:t>
      </w:r>
      <w:r w:rsidR="001C1AD9">
        <w:rPr>
          <w:lang w:val="fr-CA"/>
        </w:rPr>
        <w:t xml:space="preserve">’adaptation </w:t>
      </w:r>
      <w:r>
        <w:rPr>
          <w:lang w:val="fr-CA"/>
        </w:rPr>
        <w:t>sont calculées à un pourcentage de l</w:t>
      </w:r>
      <w:r w:rsidR="001C1AD9">
        <w:rPr>
          <w:lang w:val="fr-CA"/>
        </w:rPr>
        <w:t>’adaptation</w:t>
      </w:r>
      <w:r>
        <w:rPr>
          <w:lang w:val="fr-CA"/>
        </w:rPr>
        <w:t xml:space="preserve"> originale.</w:t>
      </w:r>
    </w:p>
    <w:p w14:paraId="022833DE" w14:textId="6655B060" w:rsidR="00092C48" w:rsidRPr="00C04B57" w:rsidRDefault="00092C48" w:rsidP="00BB4821">
      <w:pPr>
        <w:pStyle w:val="ListParagraph"/>
        <w:numPr>
          <w:ilvl w:val="1"/>
          <w:numId w:val="9"/>
        </w:numPr>
        <w:rPr>
          <w:lang w:val="fr-CA"/>
        </w:rPr>
      </w:pPr>
      <w:r>
        <w:rPr>
          <w:lang w:val="fr-CA"/>
        </w:rPr>
        <w:t>La valeur d</w:t>
      </w:r>
      <w:r w:rsidR="001C1AD9">
        <w:rPr>
          <w:lang w:val="fr-CA"/>
        </w:rPr>
        <w:t>’adaptation</w:t>
      </w:r>
      <w:r>
        <w:rPr>
          <w:lang w:val="fr-CA"/>
        </w:rPr>
        <w:t xml:space="preserve"> doit être déterminée par un fournisseur certifié et fournie avec la demande.</w:t>
      </w:r>
    </w:p>
    <w:p w14:paraId="5B5A8BC9" w14:textId="5B57FE9D" w:rsidR="00092C48" w:rsidRPr="00C04B57" w:rsidRDefault="00092C48" w:rsidP="00BB4821">
      <w:pPr>
        <w:pStyle w:val="ListParagraph"/>
        <w:numPr>
          <w:ilvl w:val="0"/>
          <w:numId w:val="9"/>
        </w:numPr>
        <w:rPr>
          <w:lang w:val="fr-CA"/>
        </w:rPr>
      </w:pPr>
      <w:r>
        <w:rPr>
          <w:lang w:val="fr-CA"/>
        </w:rPr>
        <w:t xml:space="preserve">Un devis d’un fournisseur certifié est requis avec la demande pour les nouvelles </w:t>
      </w:r>
      <w:r w:rsidR="001C1AD9">
        <w:rPr>
          <w:lang w:val="fr-CA"/>
        </w:rPr>
        <w:t>adaptations</w:t>
      </w:r>
      <w:r>
        <w:rPr>
          <w:lang w:val="fr-CA"/>
        </w:rPr>
        <w:t xml:space="preserve"> ou les </w:t>
      </w:r>
      <w:r w:rsidR="001C1AD9">
        <w:rPr>
          <w:lang w:val="fr-CA"/>
        </w:rPr>
        <w:t>adaptations</w:t>
      </w:r>
      <w:r>
        <w:rPr>
          <w:lang w:val="fr-CA"/>
        </w:rPr>
        <w:t xml:space="preserve"> existantes.</w:t>
      </w:r>
    </w:p>
    <w:p w14:paraId="3BB18A72" w14:textId="77777777" w:rsidR="00092C48" w:rsidRPr="00C04B57" w:rsidRDefault="00092C48" w:rsidP="00092C48">
      <w:pPr>
        <w:rPr>
          <w:lang w:val="fr-CA"/>
        </w:rPr>
      </w:pPr>
    </w:p>
    <w:p w14:paraId="2D457F12" w14:textId="77777777" w:rsidR="00092C48" w:rsidRPr="00C04B57" w:rsidRDefault="00092C48" w:rsidP="00092C48">
      <w:pPr>
        <w:rPr>
          <w:lang w:val="fr-CA"/>
        </w:rPr>
      </w:pPr>
      <w:r>
        <w:rPr>
          <w:lang w:val="fr-CA"/>
        </w:rPr>
        <w:t>Les demandeurs sont encouragés à rencontrer un ergothérapeute s’ils ne sont pas familiers avec les options de conversion de véhicule ou les exigences en matière d’adaptation de la conduite.</w:t>
      </w:r>
    </w:p>
    <w:p w14:paraId="5E2892C1" w14:textId="77777777" w:rsidR="00E92DF4" w:rsidRPr="00C04B57" w:rsidRDefault="00E92DF4" w:rsidP="00092C48">
      <w:pPr>
        <w:rPr>
          <w:lang w:val="fr-CA"/>
        </w:rPr>
      </w:pPr>
    </w:p>
    <w:p w14:paraId="5592DF50" w14:textId="77777777" w:rsidR="00092C48" w:rsidRPr="00C04B57" w:rsidRDefault="00092C48" w:rsidP="00092C48">
      <w:pPr>
        <w:rPr>
          <w:lang w:val="fr-CA"/>
        </w:rPr>
      </w:pPr>
      <w:r>
        <w:rPr>
          <w:lang w:val="fr-CA"/>
        </w:rPr>
        <w:t xml:space="preserve"> </w:t>
      </w:r>
    </w:p>
    <w:p w14:paraId="7E8DDACC" w14:textId="77777777" w:rsidR="00092C48" w:rsidRPr="00C04B57" w:rsidRDefault="00092C48" w:rsidP="00092C48">
      <w:pPr>
        <w:pStyle w:val="Heading1"/>
        <w:rPr>
          <w:lang w:val="fr-CA"/>
        </w:rPr>
      </w:pPr>
      <w:r>
        <w:rPr>
          <w:bCs/>
          <w:lang w:val="fr-CA"/>
        </w:rPr>
        <w:t>En fonction de quels critères les demandes sont-elles évaluées?</w:t>
      </w:r>
    </w:p>
    <w:p w14:paraId="230FC30A" w14:textId="77777777" w:rsidR="00092C48" w:rsidRPr="00C04B57" w:rsidRDefault="00092C48" w:rsidP="00092C48">
      <w:pPr>
        <w:rPr>
          <w:lang w:val="fr-CA"/>
        </w:rPr>
      </w:pPr>
    </w:p>
    <w:p w14:paraId="2EBA2516" w14:textId="77777777" w:rsidR="00092C48" w:rsidRDefault="00092C48" w:rsidP="00092C48">
      <w:r>
        <w:rPr>
          <w:lang w:val="fr-CA"/>
        </w:rPr>
        <w:t>Chaque demande soumise est examinée et traitée dans l’ordre (date et heure) dans lequel elle est reçue. Elles sont examinées sur la base des critères suivants :</w:t>
      </w:r>
    </w:p>
    <w:p w14:paraId="362D774A" w14:textId="77777777" w:rsidR="00092C48" w:rsidRPr="00C04B57" w:rsidRDefault="00092C48" w:rsidP="00092C48">
      <w:pPr>
        <w:pStyle w:val="ListParagraph"/>
        <w:numPr>
          <w:ilvl w:val="0"/>
          <w:numId w:val="3"/>
        </w:numPr>
        <w:rPr>
          <w:lang w:val="fr-CA"/>
        </w:rPr>
      </w:pPr>
      <w:proofErr w:type="gramStart"/>
      <w:r>
        <w:rPr>
          <w:lang w:val="fr-CA"/>
        </w:rPr>
        <w:t>répond</w:t>
      </w:r>
      <w:proofErr w:type="gramEnd"/>
      <w:r>
        <w:rPr>
          <w:lang w:val="fr-CA"/>
        </w:rPr>
        <w:t xml:space="preserve"> à l’objectif de financement;</w:t>
      </w:r>
    </w:p>
    <w:p w14:paraId="09461180" w14:textId="50C94665" w:rsidR="00092C48" w:rsidRPr="00C04B57" w:rsidRDefault="00092C48" w:rsidP="00092C48">
      <w:pPr>
        <w:pStyle w:val="ListParagraph"/>
        <w:numPr>
          <w:ilvl w:val="0"/>
          <w:numId w:val="3"/>
        </w:numPr>
        <w:rPr>
          <w:lang w:val="fr-CA"/>
        </w:rPr>
      </w:pPr>
      <w:proofErr w:type="gramStart"/>
      <w:r>
        <w:rPr>
          <w:lang w:val="fr-CA"/>
        </w:rPr>
        <w:t>satisfait</w:t>
      </w:r>
      <w:proofErr w:type="gramEnd"/>
      <w:r>
        <w:rPr>
          <w:lang w:val="fr-CA"/>
        </w:rPr>
        <w:t xml:space="preserve"> aux c</w:t>
      </w:r>
      <w:r w:rsidR="00896837">
        <w:rPr>
          <w:lang w:val="fr-CA"/>
        </w:rPr>
        <w:t>ritères</w:t>
      </w:r>
      <w:r>
        <w:rPr>
          <w:lang w:val="fr-CA"/>
        </w:rPr>
        <w:t xml:space="preserve"> d’admissibilité énoncés;</w:t>
      </w:r>
    </w:p>
    <w:p w14:paraId="601A1724" w14:textId="77777777" w:rsidR="00092C48" w:rsidRDefault="00092C48" w:rsidP="00092C48">
      <w:pPr>
        <w:pStyle w:val="ListParagraph"/>
        <w:numPr>
          <w:ilvl w:val="0"/>
          <w:numId w:val="3"/>
        </w:numPr>
      </w:pPr>
      <w:proofErr w:type="gramStart"/>
      <w:r>
        <w:rPr>
          <w:lang w:val="fr-CA"/>
        </w:rPr>
        <w:t>disponibilité</w:t>
      </w:r>
      <w:proofErr w:type="gramEnd"/>
      <w:r>
        <w:rPr>
          <w:lang w:val="fr-CA"/>
        </w:rPr>
        <w:t xml:space="preserve"> des fonds.</w:t>
      </w:r>
    </w:p>
    <w:p w14:paraId="63F6B065" w14:textId="77777777" w:rsidR="00092C48" w:rsidRDefault="00092C48" w:rsidP="00092C48"/>
    <w:p w14:paraId="09D9F740" w14:textId="77777777" w:rsidR="00092C48" w:rsidRPr="00C04B57" w:rsidRDefault="00092C48" w:rsidP="00092C48">
      <w:pPr>
        <w:pStyle w:val="Heading1"/>
        <w:rPr>
          <w:lang w:val="fr-CA"/>
        </w:rPr>
      </w:pPr>
      <w:r>
        <w:rPr>
          <w:bCs/>
          <w:lang w:val="fr-CA"/>
        </w:rPr>
        <w:t>Comment le financement est-il versé?</w:t>
      </w:r>
    </w:p>
    <w:p w14:paraId="09EEFC97" w14:textId="77777777" w:rsidR="00092C48" w:rsidRPr="00C04B57" w:rsidRDefault="00092C48" w:rsidP="00092C48">
      <w:pPr>
        <w:rPr>
          <w:lang w:val="fr-CA"/>
        </w:rPr>
      </w:pPr>
    </w:p>
    <w:p w14:paraId="305CD205" w14:textId="77777777" w:rsidR="00092C48" w:rsidRPr="00C04B57" w:rsidRDefault="00092C48" w:rsidP="00092C48">
      <w:pPr>
        <w:rPr>
          <w:lang w:val="fr-CA"/>
        </w:rPr>
      </w:pPr>
      <w:r>
        <w:rPr>
          <w:lang w:val="fr-CA"/>
        </w:rPr>
        <w:t>Les options de paiement comprennent :</w:t>
      </w:r>
    </w:p>
    <w:p w14:paraId="73F1E740" w14:textId="7D6132A8" w:rsidR="00092C48" w:rsidRPr="00C04B57" w:rsidRDefault="00092C48" w:rsidP="00092C48">
      <w:pPr>
        <w:pStyle w:val="ListParagraph"/>
        <w:numPr>
          <w:ilvl w:val="0"/>
          <w:numId w:val="2"/>
        </w:numPr>
        <w:rPr>
          <w:lang w:val="fr-CA"/>
        </w:rPr>
      </w:pPr>
      <w:r>
        <w:rPr>
          <w:rStyle w:val="Strong"/>
          <w:bCs/>
          <w:lang w:val="fr-CA"/>
        </w:rPr>
        <w:t>Particulier</w:t>
      </w:r>
      <w:r>
        <w:rPr>
          <w:b/>
          <w:bCs/>
          <w:lang w:val="fr-CA"/>
        </w:rPr>
        <w:t> :</w:t>
      </w:r>
      <w:r>
        <w:rPr>
          <w:lang w:val="fr-CA"/>
        </w:rPr>
        <w:t xml:space="preserve"> paiement émis directement </w:t>
      </w:r>
      <w:r w:rsidR="00896837">
        <w:rPr>
          <w:lang w:val="fr-CA"/>
        </w:rPr>
        <w:t xml:space="preserve">au </w:t>
      </w:r>
      <w:r>
        <w:rPr>
          <w:lang w:val="fr-CA"/>
        </w:rPr>
        <w:t>demandeur lorsque la ou les factures des travaux d</w:t>
      </w:r>
      <w:r w:rsidR="00896837">
        <w:rPr>
          <w:lang w:val="fr-CA"/>
        </w:rPr>
        <w:t xml:space="preserve">’adaptation </w:t>
      </w:r>
      <w:r>
        <w:rPr>
          <w:lang w:val="fr-CA"/>
        </w:rPr>
        <w:t>ou d’achat sont reçues et vérifiées pour admissibilité. (Les factures doivent correspondre aux détails du financement approuvé et le travail doit être jugé satisfaisant par le demandeur.)</w:t>
      </w:r>
    </w:p>
    <w:p w14:paraId="22416F7F" w14:textId="4E70A126" w:rsidR="00092C48" w:rsidRPr="00C04B57" w:rsidRDefault="00092C48" w:rsidP="00092C48">
      <w:pPr>
        <w:pStyle w:val="ListParagraph"/>
        <w:numPr>
          <w:ilvl w:val="0"/>
          <w:numId w:val="2"/>
        </w:numPr>
        <w:rPr>
          <w:lang w:val="fr-CA"/>
        </w:rPr>
      </w:pPr>
      <w:r>
        <w:rPr>
          <w:rStyle w:val="Strong"/>
          <w:bCs/>
          <w:lang w:val="fr-CA"/>
        </w:rPr>
        <w:t>Entreprise (fournisseur) :</w:t>
      </w:r>
      <w:r>
        <w:rPr>
          <w:lang w:val="fr-CA"/>
        </w:rPr>
        <w:t xml:space="preserve"> paiement émis directement à l</w:t>
      </w:r>
      <w:r w:rsidR="00896837">
        <w:rPr>
          <w:lang w:val="fr-CA"/>
        </w:rPr>
        <w:t>’entreprise</w:t>
      </w:r>
      <w:r>
        <w:rPr>
          <w:lang w:val="fr-CA"/>
        </w:rPr>
        <w:t xml:space="preserve"> (fournisseur) fournissant l’équipement/réalisant l</w:t>
      </w:r>
      <w:r w:rsidR="00896837">
        <w:rPr>
          <w:lang w:val="fr-CA"/>
        </w:rPr>
        <w:t>’adaptation e</w:t>
      </w:r>
      <w:r>
        <w:rPr>
          <w:lang w:val="fr-CA"/>
        </w:rPr>
        <w:t>t/ou assurant la maintenance de l</w:t>
      </w:r>
      <w:r w:rsidR="00896837">
        <w:rPr>
          <w:lang w:val="fr-CA"/>
        </w:rPr>
        <w:t>’adaptation e</w:t>
      </w:r>
      <w:r>
        <w:rPr>
          <w:lang w:val="fr-CA"/>
        </w:rPr>
        <w:t>xistante.</w:t>
      </w:r>
    </w:p>
    <w:p w14:paraId="435F2EAF" w14:textId="77777777" w:rsidR="00092C48" w:rsidRPr="00C04B57" w:rsidRDefault="00092C48" w:rsidP="00092C48">
      <w:pPr>
        <w:rPr>
          <w:lang w:val="fr-CA"/>
        </w:rPr>
      </w:pPr>
    </w:p>
    <w:p w14:paraId="358EB75B" w14:textId="77777777" w:rsidR="00092C48" w:rsidRPr="00C04B57" w:rsidRDefault="00092C48" w:rsidP="00092C48">
      <w:pPr>
        <w:rPr>
          <w:lang w:val="fr-CA"/>
        </w:rPr>
      </w:pPr>
      <w:r>
        <w:rPr>
          <w:lang w:val="fr-CA"/>
        </w:rPr>
        <w:lastRenderedPageBreak/>
        <w:t>Le paiement sous forme de subvention est émis à l’entreprise (fournisseur) comme suit :</w:t>
      </w:r>
    </w:p>
    <w:p w14:paraId="3F1CF859" w14:textId="12CA2144" w:rsidR="00092C48" w:rsidRPr="00C04B57" w:rsidRDefault="00092C48" w:rsidP="00092C48">
      <w:pPr>
        <w:pStyle w:val="ListParagraph"/>
        <w:numPr>
          <w:ilvl w:val="0"/>
          <w:numId w:val="1"/>
        </w:numPr>
        <w:rPr>
          <w:lang w:val="fr-CA"/>
        </w:rPr>
      </w:pPr>
      <w:proofErr w:type="gramStart"/>
      <w:r>
        <w:rPr>
          <w:lang w:val="fr-CA"/>
        </w:rPr>
        <w:t>paiement</w:t>
      </w:r>
      <w:proofErr w:type="gramEnd"/>
      <w:r>
        <w:rPr>
          <w:lang w:val="fr-CA"/>
        </w:rPr>
        <w:t xml:space="preserve"> de 80 % à la signature du contrat, avec devis</w:t>
      </w:r>
      <w:r w:rsidR="009E7097">
        <w:rPr>
          <w:lang w:val="fr-CA"/>
        </w:rPr>
        <w:t>;</w:t>
      </w:r>
    </w:p>
    <w:p w14:paraId="55704373" w14:textId="52D49B81" w:rsidR="00092C48" w:rsidRPr="00C04B57" w:rsidRDefault="00092C48" w:rsidP="00092C48">
      <w:pPr>
        <w:pStyle w:val="ListParagraph"/>
        <w:numPr>
          <w:ilvl w:val="0"/>
          <w:numId w:val="1"/>
        </w:numPr>
        <w:rPr>
          <w:lang w:val="fr-CA"/>
        </w:rPr>
      </w:pPr>
      <w:proofErr w:type="gramStart"/>
      <w:r>
        <w:rPr>
          <w:lang w:val="fr-CA"/>
        </w:rPr>
        <w:t>versement</w:t>
      </w:r>
      <w:proofErr w:type="gramEnd"/>
      <w:r>
        <w:rPr>
          <w:lang w:val="fr-CA"/>
        </w:rPr>
        <w:t xml:space="preserve"> d’une retenue de 20 % à la réception de la ou des factures des travaux d</w:t>
      </w:r>
      <w:r w:rsidR="009E7097">
        <w:rPr>
          <w:lang w:val="fr-CA"/>
        </w:rPr>
        <w:t xml:space="preserve">’adaptation </w:t>
      </w:r>
      <w:r>
        <w:rPr>
          <w:lang w:val="fr-CA"/>
        </w:rPr>
        <w:t>achevés et dont l’admissibilité aura été vérifiée (les factures doivent correspondre aux détails du financement approuvé et les travaux doivent être jugés satisfaisants par le demandeur).</w:t>
      </w:r>
    </w:p>
    <w:p w14:paraId="4ED879CE" w14:textId="77777777" w:rsidR="00092C48" w:rsidRPr="00C04B57" w:rsidRDefault="00092C48" w:rsidP="00092C48">
      <w:pPr>
        <w:rPr>
          <w:lang w:val="fr-CA"/>
        </w:rPr>
      </w:pPr>
    </w:p>
    <w:p w14:paraId="61C5A44F" w14:textId="77777777" w:rsidR="00092C48" w:rsidRPr="00C04B57" w:rsidRDefault="00092C48" w:rsidP="00092C48">
      <w:pPr>
        <w:pStyle w:val="Heading1"/>
        <w:rPr>
          <w:lang w:val="fr-CA"/>
        </w:rPr>
      </w:pPr>
      <w:r>
        <w:rPr>
          <w:bCs/>
          <w:lang w:val="fr-CA"/>
        </w:rPr>
        <w:t>Que dois-je faire pour présenter ma demande?</w:t>
      </w:r>
    </w:p>
    <w:p w14:paraId="763D47AF" w14:textId="77777777" w:rsidR="00092C48" w:rsidRPr="00C04B57" w:rsidRDefault="00092C48" w:rsidP="00092C48">
      <w:pPr>
        <w:rPr>
          <w:lang w:val="fr-CA"/>
        </w:rPr>
      </w:pPr>
    </w:p>
    <w:p w14:paraId="73F7DCCE" w14:textId="77777777" w:rsidR="009D096A" w:rsidRDefault="00092C48" w:rsidP="009D096A">
      <w:pPr>
        <w:rPr>
          <w:color w:val="0070C0"/>
        </w:rPr>
      </w:pPr>
      <w:r>
        <w:rPr>
          <w:lang w:val="fr-CA"/>
        </w:rPr>
        <w:t>Les demandes peuvent être téléchargées sur le site web du gouvernement à l’adresse suivante</w:t>
      </w:r>
      <w:r w:rsidR="009E7097">
        <w:rPr>
          <w:lang w:val="fr-CA"/>
        </w:rPr>
        <w:t> :</w:t>
      </w:r>
      <w:r>
        <w:rPr>
          <w:lang w:val="fr-CA"/>
        </w:rPr>
        <w:t xml:space="preserve"> </w:t>
      </w:r>
      <w:hyperlink r:id="rId8" w:history="1">
        <w:r w:rsidR="009D096A">
          <w:rPr>
            <w:rStyle w:val="Hyperlink"/>
          </w:rPr>
          <w:t>https://www.gov.nl.ca/cssd/financement-en-matiere-de-vehicules-accessibles/</w:t>
        </w:r>
      </w:hyperlink>
      <w:r w:rsidR="009D096A">
        <w:rPr>
          <w:color w:val="0070C0"/>
        </w:rPr>
        <w:t xml:space="preserve"> </w:t>
      </w:r>
    </w:p>
    <w:p w14:paraId="27F3EE60" w14:textId="21B33B54" w:rsidR="00092C48" w:rsidRPr="00C04B57" w:rsidRDefault="00092C48" w:rsidP="00092C48">
      <w:pPr>
        <w:rPr>
          <w:lang w:val="fr-CA"/>
        </w:rPr>
      </w:pPr>
      <w:r>
        <w:rPr>
          <w:lang w:val="fr-CA"/>
        </w:rPr>
        <w:t xml:space="preserve"> </w:t>
      </w:r>
    </w:p>
    <w:p w14:paraId="540C9EA2" w14:textId="77777777" w:rsidR="00092C48" w:rsidRPr="00C04B57" w:rsidRDefault="00092C48" w:rsidP="00092C48">
      <w:pPr>
        <w:rPr>
          <w:lang w:val="fr-CA"/>
        </w:rPr>
      </w:pPr>
    </w:p>
    <w:p w14:paraId="032E8AD1" w14:textId="77777777" w:rsidR="00092C48" w:rsidRPr="00C04B57" w:rsidRDefault="00092C48" w:rsidP="00092C48">
      <w:pPr>
        <w:rPr>
          <w:lang w:val="fr-CA"/>
        </w:rPr>
      </w:pPr>
      <w:r>
        <w:rPr>
          <w:lang w:val="fr-CA"/>
        </w:rPr>
        <w:t>Les demandes dûment remplies peuvent être envoyées par :</w:t>
      </w:r>
    </w:p>
    <w:p w14:paraId="2B901EDC" w14:textId="77777777" w:rsidR="00E92DF4" w:rsidRPr="00C04B57" w:rsidRDefault="00092C48" w:rsidP="00092C48">
      <w:pPr>
        <w:rPr>
          <w:lang w:val="fr-CA"/>
        </w:rPr>
      </w:pPr>
      <w:r>
        <w:rPr>
          <w:lang w:val="fr-CA"/>
        </w:rPr>
        <w:t xml:space="preserve">Courriel : CSSDGrantPrograms@gov.nl.ca  </w:t>
      </w:r>
    </w:p>
    <w:p w14:paraId="52FCBAD6" w14:textId="5690AEF7" w:rsidR="00092C48" w:rsidRPr="00C04B57" w:rsidRDefault="00480C34" w:rsidP="00092C48">
      <w:pPr>
        <w:rPr>
          <w:lang w:val="fr-CA"/>
        </w:rPr>
      </w:pPr>
      <w:r>
        <w:rPr>
          <w:lang w:val="fr-CA"/>
        </w:rPr>
        <w:t>Télécopieur : 709-729-6237</w:t>
      </w:r>
    </w:p>
    <w:p w14:paraId="44987736" w14:textId="77777777" w:rsidR="00092C48" w:rsidRPr="00480C34" w:rsidRDefault="00092C48" w:rsidP="00092C48">
      <w:proofErr w:type="gramStart"/>
      <w:r w:rsidRPr="00480C34">
        <w:t>Poste :</w:t>
      </w:r>
      <w:proofErr w:type="gramEnd"/>
    </w:p>
    <w:p w14:paraId="4CDC0F55" w14:textId="77777777" w:rsidR="00EC16AC" w:rsidRDefault="00EC16AC" w:rsidP="00EC16AC">
      <w:r>
        <w:t>Accessible Vehicle Funding</w:t>
      </w:r>
    </w:p>
    <w:p w14:paraId="31450287" w14:textId="77777777" w:rsidR="00EC16AC" w:rsidRDefault="00EC16AC" w:rsidP="00EC16AC">
      <w:r>
        <w:t xml:space="preserve">Department of Children, </w:t>
      </w:r>
      <w:proofErr w:type="gramStart"/>
      <w:r>
        <w:t>Seniors</w:t>
      </w:r>
      <w:proofErr w:type="gramEnd"/>
      <w:r>
        <w:t xml:space="preserve"> and Social Development </w:t>
      </w:r>
    </w:p>
    <w:p w14:paraId="3F7EB5EE" w14:textId="77777777" w:rsidR="00EC16AC" w:rsidRDefault="00EC16AC" w:rsidP="00EC16AC">
      <w:r>
        <w:t>PO Box 8700, 6th Floor, West Block Confederation Building</w:t>
      </w:r>
    </w:p>
    <w:p w14:paraId="3D1245FA" w14:textId="13A28D76" w:rsidR="00092C48" w:rsidRPr="00C04B57" w:rsidRDefault="00EC16AC" w:rsidP="00EC16AC">
      <w:pPr>
        <w:rPr>
          <w:lang w:val="fr-CA"/>
        </w:rPr>
      </w:pPr>
      <w:r w:rsidRPr="00EC16AC">
        <w:rPr>
          <w:lang w:val="fr-CA"/>
        </w:rPr>
        <w:t>St. John’s, NL, A1B 4J6</w:t>
      </w:r>
    </w:p>
    <w:p w14:paraId="01136CE7" w14:textId="77777777" w:rsidR="00092C48" w:rsidRPr="00C04B57" w:rsidRDefault="00092C48" w:rsidP="00092C48">
      <w:pPr>
        <w:rPr>
          <w:lang w:val="fr-CA"/>
        </w:rPr>
      </w:pPr>
    </w:p>
    <w:p w14:paraId="61458EAA" w14:textId="5C638EC7" w:rsidR="00092C48" w:rsidRPr="00C04B57" w:rsidRDefault="00955CD9" w:rsidP="00092C48">
      <w:pPr>
        <w:rPr>
          <w:lang w:val="fr-CA"/>
        </w:rPr>
      </w:pPr>
      <w:r w:rsidRPr="00955CD9">
        <w:rPr>
          <w:lang w:val="fr-CA"/>
        </w:rPr>
        <w:t>Si vous souhaitez obtenir des formats de rechange ou si vous avez des questions concernant le financement ou la procédure de demande, vous pouvez le faire par les moyens suivants</w:t>
      </w:r>
      <w:r>
        <w:rPr>
          <w:lang w:val="fr-CA"/>
        </w:rPr>
        <w:t> </w:t>
      </w:r>
      <w:r w:rsidR="00092C48">
        <w:rPr>
          <w:lang w:val="fr-CA"/>
        </w:rPr>
        <w:t>:</w:t>
      </w:r>
    </w:p>
    <w:p w14:paraId="447F0B2A" w14:textId="77777777" w:rsidR="00092C48" w:rsidRPr="00C04B57" w:rsidRDefault="00092C48" w:rsidP="00092C48">
      <w:pPr>
        <w:rPr>
          <w:lang w:val="fr-CA"/>
        </w:rPr>
      </w:pPr>
    </w:p>
    <w:p w14:paraId="58DC35C7" w14:textId="77777777" w:rsidR="00E92DF4" w:rsidRPr="00C04B57" w:rsidRDefault="00092C48" w:rsidP="00E92DF4">
      <w:pPr>
        <w:rPr>
          <w:lang w:val="fr-CA"/>
        </w:rPr>
      </w:pPr>
      <w:r>
        <w:rPr>
          <w:lang w:val="fr-CA"/>
        </w:rPr>
        <w:t xml:space="preserve">Courriel : CSSDGrantPrograms@gov.nl.ca  </w:t>
      </w:r>
    </w:p>
    <w:p w14:paraId="1308063C" w14:textId="23D6EF6D" w:rsidR="00092C48" w:rsidRPr="00C04B57" w:rsidRDefault="00092C48" w:rsidP="00092C48">
      <w:pPr>
        <w:rPr>
          <w:lang w:val="fr-CA"/>
        </w:rPr>
      </w:pPr>
      <w:r>
        <w:rPr>
          <w:lang w:val="fr-CA"/>
        </w:rPr>
        <w:t>Tél. : 709</w:t>
      </w:r>
      <w:r w:rsidR="00420FD1">
        <w:rPr>
          <w:lang w:val="fr-CA"/>
        </w:rPr>
        <w:t>-</w:t>
      </w:r>
      <w:r>
        <w:rPr>
          <w:lang w:val="fr-CA"/>
        </w:rPr>
        <w:t>729</w:t>
      </w:r>
      <w:r w:rsidR="00420FD1">
        <w:rPr>
          <w:lang w:val="fr-CA"/>
        </w:rPr>
        <w:t>-</w:t>
      </w:r>
      <w:r w:rsidR="007B7295">
        <w:rPr>
          <w:lang w:val="fr-CA"/>
        </w:rPr>
        <w:t>6279</w:t>
      </w:r>
    </w:p>
    <w:p w14:paraId="35E3F7B3" w14:textId="5D56BD96" w:rsidR="00092C48" w:rsidRPr="00C04B57" w:rsidRDefault="00092C48" w:rsidP="00092C48">
      <w:pPr>
        <w:rPr>
          <w:lang w:val="fr-CA"/>
        </w:rPr>
      </w:pPr>
      <w:r>
        <w:rPr>
          <w:lang w:val="fr-CA"/>
        </w:rPr>
        <w:t>Numéro sans frais : 888</w:t>
      </w:r>
      <w:r w:rsidR="00420FD1">
        <w:rPr>
          <w:lang w:val="fr-CA"/>
        </w:rPr>
        <w:t>-</w:t>
      </w:r>
      <w:r>
        <w:rPr>
          <w:lang w:val="fr-CA"/>
        </w:rPr>
        <w:t>729</w:t>
      </w:r>
      <w:r w:rsidR="00420FD1">
        <w:rPr>
          <w:lang w:val="fr-CA"/>
        </w:rPr>
        <w:t>-</w:t>
      </w:r>
      <w:r>
        <w:rPr>
          <w:lang w:val="fr-CA"/>
        </w:rPr>
        <w:t>6279</w:t>
      </w:r>
    </w:p>
    <w:p w14:paraId="05A267F2" w14:textId="15C77BA6" w:rsidR="00092C48" w:rsidRPr="00C04B57" w:rsidRDefault="00092C48" w:rsidP="00092C48">
      <w:pPr>
        <w:rPr>
          <w:lang w:val="fr-CA"/>
        </w:rPr>
      </w:pPr>
      <w:r>
        <w:rPr>
          <w:lang w:val="fr-CA"/>
        </w:rPr>
        <w:t>Texto : 709</w:t>
      </w:r>
      <w:r w:rsidR="00420FD1">
        <w:rPr>
          <w:lang w:val="fr-CA"/>
        </w:rPr>
        <w:t>-</w:t>
      </w:r>
      <w:r>
        <w:rPr>
          <w:lang w:val="fr-CA"/>
        </w:rPr>
        <w:t>725</w:t>
      </w:r>
      <w:r w:rsidR="00420FD1">
        <w:rPr>
          <w:lang w:val="fr-CA"/>
        </w:rPr>
        <w:t>-</w:t>
      </w:r>
      <w:r>
        <w:rPr>
          <w:lang w:val="fr-CA"/>
        </w:rPr>
        <w:t>4463</w:t>
      </w:r>
    </w:p>
    <w:p w14:paraId="427A6131" w14:textId="77777777" w:rsidR="00092C48" w:rsidRPr="00C04B57" w:rsidRDefault="00092C48" w:rsidP="00092C48">
      <w:pPr>
        <w:rPr>
          <w:lang w:val="fr-CA"/>
        </w:rPr>
      </w:pPr>
      <w:r>
        <w:rPr>
          <w:lang w:val="fr-CA"/>
        </w:rPr>
        <w:t>Appels SRV bienvenus</w:t>
      </w:r>
    </w:p>
    <w:p w14:paraId="6BEF6A11" w14:textId="77777777" w:rsidR="00383D4E" w:rsidRPr="00C04B57" w:rsidRDefault="00E05A61" w:rsidP="00092C48">
      <w:pPr>
        <w:rPr>
          <w:lang w:val="fr-CA"/>
        </w:rPr>
      </w:pPr>
      <w:bookmarkStart w:id="0" w:name="_GoBack"/>
      <w:bookmarkEnd w:id="0"/>
    </w:p>
    <w:sectPr w:rsidR="00383D4E" w:rsidRPr="00C04B5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61EDFC" w14:textId="77777777" w:rsidR="00E05A61" w:rsidRDefault="00E05A61" w:rsidP="00BB4821">
      <w:r>
        <w:separator/>
      </w:r>
    </w:p>
  </w:endnote>
  <w:endnote w:type="continuationSeparator" w:id="0">
    <w:p w14:paraId="188E8FC9" w14:textId="77777777" w:rsidR="00E05A61" w:rsidRDefault="00E05A61" w:rsidP="00BB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806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2B392E" w14:textId="5DD7B5B2" w:rsidR="009D096A" w:rsidRDefault="009D09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FEBE590" w14:textId="77777777" w:rsidR="00BB4821" w:rsidRDefault="00BB4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3BFF3D" w14:textId="77777777" w:rsidR="00E05A61" w:rsidRDefault="00E05A61" w:rsidP="00BB4821">
      <w:r>
        <w:separator/>
      </w:r>
    </w:p>
  </w:footnote>
  <w:footnote w:type="continuationSeparator" w:id="0">
    <w:p w14:paraId="2C2FBFE1" w14:textId="77777777" w:rsidR="00E05A61" w:rsidRDefault="00E05A61" w:rsidP="00BB4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93E66"/>
    <w:multiLevelType w:val="hybridMultilevel"/>
    <w:tmpl w:val="08088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2224"/>
    <w:multiLevelType w:val="hybridMultilevel"/>
    <w:tmpl w:val="E9027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70400"/>
    <w:multiLevelType w:val="hybridMultilevel"/>
    <w:tmpl w:val="0738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25C02"/>
    <w:multiLevelType w:val="hybridMultilevel"/>
    <w:tmpl w:val="1174E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3355D"/>
    <w:multiLevelType w:val="hybridMultilevel"/>
    <w:tmpl w:val="EFE4A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6673A"/>
    <w:multiLevelType w:val="hybridMultilevel"/>
    <w:tmpl w:val="CA769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172EA"/>
    <w:multiLevelType w:val="hybridMultilevel"/>
    <w:tmpl w:val="8AA69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2172E2"/>
    <w:multiLevelType w:val="hybridMultilevel"/>
    <w:tmpl w:val="4F2C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A219EB"/>
    <w:multiLevelType w:val="hybridMultilevel"/>
    <w:tmpl w:val="24180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48"/>
    <w:rsid w:val="00023DC9"/>
    <w:rsid w:val="00092C48"/>
    <w:rsid w:val="00153EF5"/>
    <w:rsid w:val="001720F2"/>
    <w:rsid w:val="001C1AD9"/>
    <w:rsid w:val="00246053"/>
    <w:rsid w:val="002601FA"/>
    <w:rsid w:val="002B1577"/>
    <w:rsid w:val="0032104F"/>
    <w:rsid w:val="00364DDD"/>
    <w:rsid w:val="00420FD1"/>
    <w:rsid w:val="00480C34"/>
    <w:rsid w:val="004C7536"/>
    <w:rsid w:val="005C6464"/>
    <w:rsid w:val="006B0937"/>
    <w:rsid w:val="006E489B"/>
    <w:rsid w:val="007804D1"/>
    <w:rsid w:val="007B5A09"/>
    <w:rsid w:val="007B7295"/>
    <w:rsid w:val="00817D27"/>
    <w:rsid w:val="00896837"/>
    <w:rsid w:val="008F5E07"/>
    <w:rsid w:val="008F6660"/>
    <w:rsid w:val="00946AFB"/>
    <w:rsid w:val="00955CD9"/>
    <w:rsid w:val="009D096A"/>
    <w:rsid w:val="009D3201"/>
    <w:rsid w:val="009E7097"/>
    <w:rsid w:val="00BB4821"/>
    <w:rsid w:val="00BF26E5"/>
    <w:rsid w:val="00C04B57"/>
    <w:rsid w:val="00C458A8"/>
    <w:rsid w:val="00C51AB3"/>
    <w:rsid w:val="00CA4951"/>
    <w:rsid w:val="00DB0EF6"/>
    <w:rsid w:val="00E05A61"/>
    <w:rsid w:val="00E92DF4"/>
    <w:rsid w:val="00EC16AC"/>
    <w:rsid w:val="00EF631A"/>
    <w:rsid w:val="00F87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A7056"/>
  <w15:chartTrackingRefBased/>
  <w15:docId w15:val="{9A7B6FC1-8511-44A8-A797-43DF92FF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C48"/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2C48"/>
    <w:pPr>
      <w:outlineLvl w:val="0"/>
    </w:pPr>
    <w:rPr>
      <w:b/>
      <w:sz w:val="28"/>
    </w:rPr>
  </w:style>
  <w:style w:type="paragraph" w:styleId="Heading2">
    <w:name w:val="heading 2"/>
    <w:basedOn w:val="Normal"/>
    <w:link w:val="Heading2Char"/>
    <w:uiPriority w:val="9"/>
    <w:qFormat/>
    <w:rsid w:val="00092C48"/>
    <w:pPr>
      <w:outlineLvl w:val="1"/>
    </w:pPr>
    <w:rPr>
      <w:b/>
    </w:rPr>
  </w:style>
  <w:style w:type="paragraph" w:styleId="Heading3">
    <w:name w:val="heading 3"/>
    <w:basedOn w:val="Normal"/>
    <w:link w:val="Heading3Char"/>
    <w:uiPriority w:val="9"/>
    <w:qFormat/>
    <w:rsid w:val="008F666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2C48"/>
    <w:rPr>
      <w:rFonts w:ascii="Arial" w:hAnsi="Arial" w:cs="Arial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F6660"/>
    <w:rPr>
      <w:b/>
      <w:bCs/>
      <w:sz w:val="27"/>
      <w:szCs w:val="27"/>
    </w:rPr>
  </w:style>
  <w:style w:type="character" w:styleId="Strong">
    <w:name w:val="Strong"/>
    <w:uiPriority w:val="22"/>
    <w:qFormat/>
    <w:rsid w:val="00092C48"/>
    <w:rPr>
      <w:b/>
    </w:rPr>
  </w:style>
  <w:style w:type="character" w:styleId="Emphasis">
    <w:name w:val="Emphasis"/>
    <w:uiPriority w:val="20"/>
    <w:qFormat/>
    <w:rsid w:val="00092C48"/>
    <w:rPr>
      <w:b/>
      <w:sz w:val="28"/>
    </w:rPr>
  </w:style>
  <w:style w:type="paragraph" w:styleId="ListParagraph">
    <w:name w:val="List Paragraph"/>
    <w:basedOn w:val="Normal"/>
    <w:uiPriority w:val="34"/>
    <w:qFormat/>
    <w:rsid w:val="008F66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2C4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92C48"/>
    <w:rPr>
      <w:rFonts w:ascii="Arial" w:hAnsi="Arial" w:cs="Arial"/>
      <w:b/>
      <w:sz w:val="28"/>
      <w:szCs w:val="24"/>
    </w:rPr>
  </w:style>
  <w:style w:type="character" w:styleId="SubtleEmphasis">
    <w:name w:val="Subtle Emphasis"/>
    <w:uiPriority w:val="19"/>
    <w:qFormat/>
    <w:rsid w:val="00092C48"/>
  </w:style>
  <w:style w:type="paragraph" w:styleId="Title">
    <w:name w:val="Title"/>
    <w:basedOn w:val="Normal"/>
    <w:next w:val="Normal"/>
    <w:link w:val="TitleChar"/>
    <w:uiPriority w:val="10"/>
    <w:qFormat/>
    <w:rsid w:val="00092C48"/>
    <w:pPr>
      <w:jc w:val="center"/>
    </w:pPr>
    <w:rPr>
      <w:b/>
      <w:color w:val="1F497D" w:themeColor="text2"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092C48"/>
    <w:rPr>
      <w:rFonts w:ascii="Arial" w:hAnsi="Arial" w:cs="Arial"/>
      <w:b/>
      <w:color w:val="1F497D" w:themeColor="text2"/>
      <w:sz w:val="32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2C48"/>
    <w:pPr>
      <w:jc w:val="center"/>
    </w:pPr>
    <w:rPr>
      <w:color w:val="1F497D" w:themeColor="text2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2C48"/>
    <w:rPr>
      <w:rFonts w:ascii="Arial" w:hAnsi="Arial" w:cs="Arial"/>
      <w:color w:val="1F497D" w:themeColor="text2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B48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82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48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21"/>
    <w:rPr>
      <w:rFonts w:ascii="Arial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F5E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5E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5E07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E07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E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4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nl.ca/cssd/financement-en-matiere-de-vehicules-accessibl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Newfoundland and Labrador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Karen</dc:creator>
  <cp:keywords/>
  <dc:description/>
  <cp:lastModifiedBy>Davis, Karen</cp:lastModifiedBy>
  <cp:revision>3</cp:revision>
  <cp:lastPrinted>2022-08-05T16:10:00Z</cp:lastPrinted>
  <dcterms:created xsi:type="dcterms:W3CDTF">2022-08-08T13:50:00Z</dcterms:created>
  <dcterms:modified xsi:type="dcterms:W3CDTF">2022-08-09T10:38:00Z</dcterms:modified>
</cp:coreProperties>
</file>