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AD5E" w14:textId="7C727C16" w:rsidR="00A3601E" w:rsidRPr="00D06408" w:rsidRDefault="00A3601E" w:rsidP="00B97F56">
      <w:pPr>
        <w:pStyle w:val="Title"/>
        <w:rPr>
          <w:sz w:val="32"/>
          <w:szCs w:val="32"/>
        </w:rPr>
      </w:pPr>
      <w:r w:rsidRPr="00D06408">
        <w:rPr>
          <w:sz w:val="32"/>
          <w:szCs w:val="32"/>
        </w:rPr>
        <w:t>Minister Responsible for the</w:t>
      </w:r>
    </w:p>
    <w:p w14:paraId="1656C41F" w14:textId="4F0F4D41" w:rsidR="00A3601E" w:rsidRPr="00D06408" w:rsidRDefault="00A3601E" w:rsidP="00B97F56">
      <w:pPr>
        <w:pStyle w:val="Title"/>
        <w:rPr>
          <w:sz w:val="32"/>
          <w:szCs w:val="32"/>
        </w:rPr>
      </w:pPr>
      <w:r w:rsidRPr="00D06408">
        <w:rPr>
          <w:sz w:val="32"/>
          <w:szCs w:val="32"/>
        </w:rPr>
        <w:t>Status of Persons with Disabilities</w:t>
      </w:r>
    </w:p>
    <w:p w14:paraId="24ED6A96" w14:textId="77777777" w:rsidR="00D06408" w:rsidRPr="00D06408" w:rsidRDefault="00D06408" w:rsidP="00D06408">
      <w:pPr>
        <w:jc w:val="center"/>
      </w:pPr>
    </w:p>
    <w:p w14:paraId="583D41A0" w14:textId="63BDAAA9" w:rsidR="00A3601E" w:rsidRPr="00D06408" w:rsidRDefault="00A3601E" w:rsidP="00B97F56">
      <w:pPr>
        <w:pStyle w:val="Title"/>
        <w:rPr>
          <w:sz w:val="32"/>
          <w:szCs w:val="32"/>
        </w:rPr>
      </w:pPr>
      <w:r w:rsidRPr="00D06408">
        <w:rPr>
          <w:sz w:val="32"/>
          <w:szCs w:val="32"/>
        </w:rPr>
        <w:t>Annual Report 2024-25</w:t>
      </w:r>
    </w:p>
    <w:p w14:paraId="410B735D" w14:textId="77777777" w:rsidR="00A3601E" w:rsidRPr="00B97F56" w:rsidRDefault="00A3601E" w:rsidP="00B97F56">
      <w:pPr>
        <w:pStyle w:val="Title"/>
      </w:pPr>
      <w:r w:rsidRPr="00B97F56">
        <w:br w:type="page"/>
      </w:r>
    </w:p>
    <w:p w14:paraId="6F558143" w14:textId="77777777" w:rsidR="00A3601E" w:rsidRDefault="00A3601E" w:rsidP="00082AF4">
      <w:pPr>
        <w:sectPr w:rsidR="00A3601E" w:rsidSect="00A3601E">
          <w:head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titlePg/>
          <w:docGrid w:linePitch="360"/>
        </w:sectPr>
      </w:pPr>
    </w:p>
    <w:p w14:paraId="3E4CD64F" w14:textId="77777777" w:rsidR="00A3601E" w:rsidRPr="00D06408" w:rsidRDefault="00A3601E" w:rsidP="00D06408">
      <w:pPr>
        <w:jc w:val="center"/>
        <w:rPr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797340226"/>
        <w:docPartObj>
          <w:docPartGallery w:val="Table of Contents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p w14:paraId="24C66EFD" w14:textId="77777777" w:rsidR="00A3601E" w:rsidRPr="00D06408" w:rsidRDefault="00A3601E" w:rsidP="00EF6680">
          <w:pPr>
            <w:pStyle w:val="TOCHeading"/>
            <w:rPr>
              <w:color w:val="000000" w:themeColor="text1"/>
              <w:sz w:val="28"/>
              <w:szCs w:val="28"/>
            </w:rPr>
          </w:pPr>
          <w:r w:rsidRPr="00D06408">
            <w:rPr>
              <w:color w:val="000000" w:themeColor="text1"/>
              <w:sz w:val="28"/>
              <w:szCs w:val="28"/>
            </w:rPr>
            <w:t>Table of Contents</w:t>
          </w:r>
        </w:p>
        <w:p w14:paraId="6B9CB507" w14:textId="77777777" w:rsidR="00A3601E" w:rsidRPr="00F27417" w:rsidRDefault="00A3601E" w:rsidP="00082AF4"/>
        <w:p w14:paraId="342139EF" w14:textId="6675F00A" w:rsidR="00CB6653" w:rsidRDefault="00A3601E" w:rsidP="00D06408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212467601" w:history="1">
            <w:r w:rsidR="00CB6653" w:rsidRPr="00D06408">
              <w:rPr>
                <w:rStyle w:val="Hyperlink"/>
                <w:b/>
                <w:bCs/>
              </w:rPr>
              <w:t>Introduction</w:t>
            </w:r>
            <w:r w:rsidR="00CB6653">
              <w:rPr>
                <w:webHidden/>
              </w:rPr>
              <w:tab/>
            </w:r>
            <w:r w:rsidR="00CB6653">
              <w:rPr>
                <w:webHidden/>
              </w:rPr>
              <w:fldChar w:fldCharType="begin"/>
            </w:r>
            <w:r w:rsidR="00CB6653">
              <w:rPr>
                <w:webHidden/>
              </w:rPr>
              <w:instrText xml:space="preserve"> PAGEREF _Toc212467601 \h </w:instrText>
            </w:r>
            <w:r w:rsidR="00CB6653">
              <w:rPr>
                <w:webHidden/>
              </w:rPr>
            </w:r>
            <w:r w:rsidR="00CB6653">
              <w:rPr>
                <w:webHidden/>
              </w:rPr>
              <w:fldChar w:fldCharType="separate"/>
            </w:r>
            <w:r w:rsidR="00415232">
              <w:rPr>
                <w:webHidden/>
              </w:rPr>
              <w:t>3</w:t>
            </w:r>
            <w:r w:rsidR="00CB6653">
              <w:rPr>
                <w:webHidden/>
              </w:rPr>
              <w:fldChar w:fldCharType="end"/>
            </w:r>
          </w:hyperlink>
        </w:p>
        <w:p w14:paraId="79B842E3" w14:textId="678BF713" w:rsidR="00CB6653" w:rsidRPr="00D06408" w:rsidRDefault="00CB6653" w:rsidP="00D06408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anchor="_Toc212467602" w:history="1">
            <w:r w:rsidRPr="00D06408">
              <w:rPr>
                <w:rStyle w:val="Hyperlink"/>
                <w:b/>
                <w:bCs/>
              </w:rPr>
              <w:t>Actions Taken by the Minister</w:t>
            </w:r>
            <w:r w:rsidRPr="00D06408">
              <w:rPr>
                <w:webHidden/>
              </w:rPr>
              <w:tab/>
            </w:r>
            <w:r w:rsidRPr="00D06408">
              <w:rPr>
                <w:webHidden/>
              </w:rPr>
              <w:fldChar w:fldCharType="begin"/>
            </w:r>
            <w:r w:rsidRPr="00D06408">
              <w:rPr>
                <w:webHidden/>
              </w:rPr>
              <w:instrText xml:space="preserve"> PAGEREF _Toc212467602 \h </w:instrText>
            </w:r>
            <w:r w:rsidRPr="00D06408">
              <w:rPr>
                <w:webHidden/>
              </w:rPr>
            </w:r>
            <w:r w:rsidRPr="00D06408">
              <w:rPr>
                <w:webHidden/>
              </w:rPr>
              <w:fldChar w:fldCharType="separate"/>
            </w:r>
            <w:r w:rsidR="00415232" w:rsidRPr="00D06408">
              <w:rPr>
                <w:webHidden/>
              </w:rPr>
              <w:t>3</w:t>
            </w:r>
            <w:r w:rsidRPr="00D06408">
              <w:rPr>
                <w:webHidden/>
              </w:rPr>
              <w:fldChar w:fldCharType="end"/>
            </w:r>
          </w:hyperlink>
        </w:p>
        <w:p w14:paraId="2CEB0018" w14:textId="5DEEB4C5" w:rsidR="00CB6653" w:rsidRDefault="00CB665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2467603" w:history="1">
            <w:r w:rsidRPr="006971F6">
              <w:rPr>
                <w:rStyle w:val="Hyperlink"/>
                <w:noProof/>
              </w:rPr>
              <w:t>Accessibility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523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F557C" w14:textId="4129AC4D" w:rsidR="00CB6653" w:rsidRDefault="00CB665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2467604" w:history="1">
            <w:r w:rsidRPr="006971F6">
              <w:rPr>
                <w:rStyle w:val="Hyperlink"/>
                <w:noProof/>
              </w:rPr>
              <w:t>Accessibility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523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F5BCD" w14:textId="241466CB" w:rsidR="00CB6653" w:rsidRDefault="00CB665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2467605" w:history="1">
            <w:r w:rsidRPr="006971F6">
              <w:rPr>
                <w:rStyle w:val="Hyperlink"/>
                <w:noProof/>
              </w:rPr>
              <w:t>Engagement with Individuals, Organizations, and Public Bodies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523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19493" w14:textId="06128702" w:rsidR="00CB6653" w:rsidRDefault="00CB665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2467606" w:history="1">
            <w:r w:rsidRPr="006971F6">
              <w:rPr>
                <w:rStyle w:val="Hyperlink"/>
                <w:noProof/>
              </w:rPr>
              <w:t>Improving Accessibility 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_Toc212467606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523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DA1B9" w14:textId="6737FB52" w:rsidR="00CB6653" w:rsidRPr="00D06408" w:rsidRDefault="00CB6653" w:rsidP="00D06408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anchor="_Toc212467607" w:history="1">
            <w:r w:rsidRPr="00D06408">
              <w:rPr>
                <w:rStyle w:val="Hyperlink"/>
                <w:b/>
                <w:bCs/>
              </w:rPr>
              <w:t>Summary</w:t>
            </w:r>
            <w:r w:rsidRPr="00D06408">
              <w:rPr>
                <w:webHidden/>
              </w:rPr>
              <w:tab/>
            </w:r>
            <w:r w:rsidRPr="00D06408">
              <w:rPr>
                <w:webHidden/>
              </w:rPr>
              <w:fldChar w:fldCharType="begin"/>
            </w:r>
            <w:r w:rsidRPr="00D06408">
              <w:rPr>
                <w:webHidden/>
              </w:rPr>
              <w:instrText xml:space="preserve"> PAGEREF _Toc212467607 \h </w:instrText>
            </w:r>
            <w:r w:rsidRPr="00D06408">
              <w:rPr>
                <w:webHidden/>
              </w:rPr>
            </w:r>
            <w:r w:rsidRPr="00D06408">
              <w:rPr>
                <w:webHidden/>
              </w:rPr>
              <w:fldChar w:fldCharType="separate"/>
            </w:r>
            <w:r w:rsidR="00415232" w:rsidRPr="00D06408">
              <w:rPr>
                <w:webHidden/>
              </w:rPr>
              <w:t>6</w:t>
            </w:r>
            <w:r w:rsidRPr="00D06408">
              <w:rPr>
                <w:webHidden/>
              </w:rPr>
              <w:fldChar w:fldCharType="end"/>
            </w:r>
          </w:hyperlink>
        </w:p>
        <w:p w14:paraId="4A21E1D8" w14:textId="68B69F5B" w:rsidR="00763906" w:rsidRDefault="00A3601E" w:rsidP="00763906">
          <w:pPr>
            <w:rPr>
              <w:noProof/>
            </w:rPr>
          </w:pPr>
          <w:r>
            <w:rPr>
              <w:noProof/>
            </w:rPr>
            <w:fldChar w:fldCharType="end"/>
          </w:r>
        </w:p>
      </w:sdtContent>
    </w:sdt>
    <w:p w14:paraId="4897FD58" w14:textId="09DEF2BD" w:rsidR="00763906" w:rsidRDefault="00763906">
      <w:pPr>
        <w:spacing w:after="160" w:line="278" w:lineRule="auto"/>
      </w:pPr>
      <w:r>
        <w:br w:type="page"/>
      </w:r>
    </w:p>
    <w:p w14:paraId="369EEA82" w14:textId="296D8338" w:rsidR="00A3601E" w:rsidRPr="00D06408" w:rsidRDefault="00CB6653" w:rsidP="00EF6680">
      <w:pPr>
        <w:pStyle w:val="Heading1"/>
        <w:rPr>
          <w:color w:val="000000" w:themeColor="text1"/>
        </w:rPr>
      </w:pPr>
      <w:bookmarkStart w:id="0" w:name="_Toc212467601"/>
      <w:r w:rsidRPr="00D06408">
        <w:rPr>
          <w:color w:val="000000" w:themeColor="text1"/>
          <w:sz w:val="28"/>
          <w:szCs w:val="28"/>
        </w:rPr>
        <w:lastRenderedPageBreak/>
        <w:t>Introduction</w:t>
      </w:r>
      <w:bookmarkEnd w:id="0"/>
    </w:p>
    <w:p w14:paraId="09974144" w14:textId="77777777" w:rsidR="00A3601E" w:rsidRPr="00367BE9" w:rsidRDefault="00A3601E" w:rsidP="00082AF4">
      <w:pPr>
        <w:rPr>
          <w:highlight w:val="yellow"/>
        </w:rPr>
      </w:pPr>
    </w:p>
    <w:p w14:paraId="63D5D6C8" w14:textId="52B3393E" w:rsidR="00CB6653" w:rsidRDefault="00CB6653" w:rsidP="00CB6653">
      <w:pPr>
        <w:rPr>
          <w:lang w:val="en-CA"/>
        </w:rPr>
      </w:pPr>
      <w:r>
        <w:t xml:space="preserve">This annual report covers the period of April 1, 2024, to March 31, 2025. This report was created to fulfill the requirements set out in section 7 of the </w:t>
      </w:r>
      <w:r>
        <w:rPr>
          <w:b/>
          <w:bCs/>
        </w:rPr>
        <w:t xml:space="preserve">Accessibility Act, </w:t>
      </w:r>
      <w:r>
        <w:t xml:space="preserve">which requires the Minister to </w:t>
      </w:r>
      <w:r>
        <w:rPr>
          <w:lang w:val="en-CA"/>
        </w:rPr>
        <w:t>prepare an annual report describing the actions taken f</w:t>
      </w:r>
      <w:r>
        <w:t xml:space="preserve">or the purpose of achieving accessibility, outlined in </w:t>
      </w:r>
      <w:r>
        <w:rPr>
          <w:lang w:val="en-CA"/>
        </w:rPr>
        <w:t xml:space="preserve">section 6 of the </w:t>
      </w:r>
      <w:r>
        <w:rPr>
          <w:b/>
          <w:bCs/>
          <w:lang w:val="en-CA"/>
        </w:rPr>
        <w:t>Accessibility Act</w:t>
      </w:r>
      <w:r>
        <w:rPr>
          <w:lang w:val="en-CA"/>
        </w:rPr>
        <w:t xml:space="preserve">. </w:t>
      </w:r>
    </w:p>
    <w:p w14:paraId="36D070F3" w14:textId="744E9A82" w:rsidR="00A3601E" w:rsidRPr="00D06408" w:rsidRDefault="00A3601E" w:rsidP="00EF6680">
      <w:pPr>
        <w:pStyle w:val="Heading1"/>
        <w:rPr>
          <w:color w:val="000000" w:themeColor="text1"/>
          <w:sz w:val="28"/>
          <w:szCs w:val="28"/>
        </w:rPr>
      </w:pPr>
      <w:bookmarkStart w:id="1" w:name="_Toc212467602"/>
      <w:r w:rsidRPr="00D06408">
        <w:rPr>
          <w:color w:val="000000" w:themeColor="text1"/>
          <w:sz w:val="28"/>
          <w:szCs w:val="28"/>
        </w:rPr>
        <w:t>Action</w:t>
      </w:r>
      <w:r w:rsidR="00763906" w:rsidRPr="00D06408">
        <w:rPr>
          <w:color w:val="000000" w:themeColor="text1"/>
          <w:sz w:val="28"/>
          <w:szCs w:val="28"/>
        </w:rPr>
        <w:t>s</w:t>
      </w:r>
      <w:r w:rsidRPr="00D06408">
        <w:rPr>
          <w:color w:val="000000" w:themeColor="text1"/>
          <w:sz w:val="28"/>
          <w:szCs w:val="28"/>
        </w:rPr>
        <w:t xml:space="preserve"> Taken by the Minister</w:t>
      </w:r>
      <w:bookmarkEnd w:id="1"/>
      <w:r w:rsidRPr="00D06408">
        <w:rPr>
          <w:color w:val="000000" w:themeColor="text1"/>
          <w:sz w:val="28"/>
          <w:szCs w:val="28"/>
        </w:rPr>
        <w:t xml:space="preserve"> </w:t>
      </w:r>
    </w:p>
    <w:p w14:paraId="7589D8FD" w14:textId="77777777" w:rsidR="00A3601E" w:rsidRDefault="00A3601E" w:rsidP="00082AF4"/>
    <w:p w14:paraId="44566363" w14:textId="77777777" w:rsidR="00A3601E" w:rsidRPr="00DF6A2F" w:rsidRDefault="00A3601E" w:rsidP="00082AF4">
      <w:bookmarkStart w:id="2" w:name="_Hlk209525132"/>
      <w:r>
        <w:rPr>
          <w:lang w:val="en-CA"/>
        </w:rPr>
        <w:t xml:space="preserve">Section 6 of the </w:t>
      </w:r>
      <w:r w:rsidRPr="00B83533">
        <w:rPr>
          <w:b/>
          <w:bCs/>
          <w:lang w:val="en-CA"/>
        </w:rPr>
        <w:t>Accessibility Act</w:t>
      </w:r>
      <w:r>
        <w:rPr>
          <w:lang w:val="en-CA"/>
        </w:rPr>
        <w:t xml:space="preserve"> requires the Minister to: </w:t>
      </w:r>
    </w:p>
    <w:p w14:paraId="412FA202" w14:textId="5A0804AD" w:rsidR="00A3601E" w:rsidRPr="00B83533" w:rsidRDefault="00A3601E" w:rsidP="00082AF4">
      <w:pPr>
        <w:pStyle w:val="ListParagraph"/>
        <w:numPr>
          <w:ilvl w:val="0"/>
          <w:numId w:val="1"/>
        </w:numPr>
      </w:pPr>
      <w:r w:rsidRPr="00B83533">
        <w:rPr>
          <w:lang w:val="en-CA"/>
        </w:rPr>
        <w:t xml:space="preserve">raise awareness of how barriers impact persons with </w:t>
      </w:r>
      <w:r w:rsidR="00E13C19" w:rsidRPr="00B83533">
        <w:rPr>
          <w:lang w:val="en-CA"/>
        </w:rPr>
        <w:t>disabilities.</w:t>
      </w:r>
    </w:p>
    <w:p w14:paraId="5B6706C9" w14:textId="562308E5" w:rsidR="00A3601E" w:rsidRPr="00B83533" w:rsidRDefault="00A3601E" w:rsidP="00082AF4">
      <w:pPr>
        <w:pStyle w:val="ListParagraph"/>
        <w:numPr>
          <w:ilvl w:val="0"/>
          <w:numId w:val="1"/>
        </w:numPr>
      </w:pPr>
      <w:r w:rsidRPr="00B83533">
        <w:rPr>
          <w:lang w:val="en-CA"/>
        </w:rPr>
        <w:t xml:space="preserve">promote and encourage the prevention, identification and removal of </w:t>
      </w:r>
      <w:r w:rsidR="00E13C19" w:rsidRPr="00B83533">
        <w:rPr>
          <w:lang w:val="en-CA"/>
        </w:rPr>
        <w:t>barriers</w:t>
      </w:r>
      <w:r w:rsidR="00E13C19">
        <w:rPr>
          <w:lang w:val="en-CA"/>
        </w:rPr>
        <w:t>.</w:t>
      </w:r>
      <w:r>
        <w:rPr>
          <w:lang w:val="en-CA"/>
        </w:rPr>
        <w:t xml:space="preserve"> </w:t>
      </w:r>
    </w:p>
    <w:p w14:paraId="1A7C219E" w14:textId="4D0F2183" w:rsidR="00A3601E" w:rsidRPr="00B83533" w:rsidRDefault="00A3601E" w:rsidP="00082AF4">
      <w:pPr>
        <w:pStyle w:val="ListParagraph"/>
        <w:numPr>
          <w:ilvl w:val="0"/>
          <w:numId w:val="1"/>
        </w:numPr>
      </w:pPr>
      <w:r w:rsidRPr="00B83533">
        <w:rPr>
          <w:lang w:val="en-CA"/>
        </w:rPr>
        <w:t xml:space="preserve">oversee the development and implementation of accessibility standards necessary to attain the purpose of this </w:t>
      </w:r>
      <w:r w:rsidR="00E13C19" w:rsidRPr="00B83533">
        <w:rPr>
          <w:lang w:val="en-CA"/>
        </w:rPr>
        <w:t>Act</w:t>
      </w:r>
      <w:r w:rsidR="00E13C19">
        <w:rPr>
          <w:lang w:val="en-CA"/>
        </w:rPr>
        <w:t>.</w:t>
      </w:r>
      <w:r>
        <w:rPr>
          <w:lang w:val="en-CA"/>
        </w:rPr>
        <w:t xml:space="preserve"> </w:t>
      </w:r>
    </w:p>
    <w:p w14:paraId="272260A6" w14:textId="77777777" w:rsidR="00A3601E" w:rsidRPr="00B83533" w:rsidRDefault="00A3601E" w:rsidP="00082AF4">
      <w:pPr>
        <w:pStyle w:val="ListParagraph"/>
        <w:numPr>
          <w:ilvl w:val="0"/>
          <w:numId w:val="1"/>
        </w:numPr>
      </w:pPr>
      <w:r w:rsidRPr="00B83533">
        <w:rPr>
          <w:lang w:val="en-CA"/>
        </w:rPr>
        <w:t>provide information to assist individuals, organizations and public bodies to integrate applicable accessibility standards into activities and undertakings; and</w:t>
      </w:r>
      <w:r>
        <w:rPr>
          <w:lang w:val="en-CA"/>
        </w:rPr>
        <w:t xml:space="preserve"> </w:t>
      </w:r>
    </w:p>
    <w:p w14:paraId="6CE28742" w14:textId="13DE1BD5" w:rsidR="00A3601E" w:rsidRPr="00FB49A0" w:rsidRDefault="00A3601E" w:rsidP="00082AF4">
      <w:pPr>
        <w:pStyle w:val="ListParagraph"/>
        <w:numPr>
          <w:ilvl w:val="0"/>
          <w:numId w:val="1"/>
        </w:numPr>
      </w:pPr>
      <w:r w:rsidRPr="00B83533">
        <w:rPr>
          <w:lang w:val="en-CA"/>
        </w:rPr>
        <w:t>ensure that individuals, organizations and public bodies that may be subject to accessibility standards are consulted in the development of the accessibility standards.</w:t>
      </w:r>
    </w:p>
    <w:p w14:paraId="48062DC5" w14:textId="77777777" w:rsidR="00FB49A0" w:rsidRPr="00F17628" w:rsidRDefault="00FB49A0" w:rsidP="00082AF4">
      <w:pPr>
        <w:pStyle w:val="ListParagraph"/>
      </w:pPr>
    </w:p>
    <w:p w14:paraId="77F1B8B2" w14:textId="421AF78B" w:rsidR="00FB49A0" w:rsidRDefault="00200720" w:rsidP="00082AF4">
      <w:r>
        <w:t>On behalf of the Minister Responsible for the Status of Person with Disabilities, the</w:t>
      </w:r>
      <w:r w:rsidR="00A3601E">
        <w:t xml:space="preserve"> Department </w:t>
      </w:r>
      <w:r w:rsidR="00E33B08">
        <w:t>focused</w:t>
      </w:r>
      <w:r w:rsidR="009D7583">
        <w:t xml:space="preserve"> on</w:t>
      </w:r>
      <w:r w:rsidR="00A3601E">
        <w:t xml:space="preserve"> completing the actions </w:t>
      </w:r>
      <w:r>
        <w:t xml:space="preserve">contained in this report </w:t>
      </w:r>
      <w:r w:rsidR="00E91BA2">
        <w:t xml:space="preserve">to </w:t>
      </w:r>
      <w:r w:rsidR="00A3601E">
        <w:t xml:space="preserve">improve accessibility </w:t>
      </w:r>
      <w:r w:rsidR="009D7583">
        <w:t>and inclusion of persons with disabilities in 2024-25.</w:t>
      </w:r>
      <w:r w:rsidR="00A3601E">
        <w:t xml:space="preserve"> </w:t>
      </w:r>
    </w:p>
    <w:bookmarkEnd w:id="2"/>
    <w:p w14:paraId="46313C5B" w14:textId="77777777" w:rsidR="00FB49A0" w:rsidRDefault="00FB49A0" w:rsidP="00082AF4"/>
    <w:p w14:paraId="52042D8C" w14:textId="77777777" w:rsidR="00460170" w:rsidRDefault="00A3601E" w:rsidP="00082AF4">
      <w:r>
        <w:t>Highlights include</w:t>
      </w:r>
      <w:r w:rsidR="00460170">
        <w:t>:</w:t>
      </w:r>
    </w:p>
    <w:p w14:paraId="7E096E14" w14:textId="20B9F085" w:rsidR="002E5685" w:rsidRDefault="002E5685" w:rsidP="00763906">
      <w:pPr>
        <w:pStyle w:val="ListParagraph"/>
        <w:numPr>
          <w:ilvl w:val="0"/>
          <w:numId w:val="7"/>
        </w:numPr>
      </w:pPr>
      <w:r>
        <w:t>Completed the process of appointing new members</w:t>
      </w:r>
      <w:r w:rsidR="00846A81">
        <w:t>,</w:t>
      </w:r>
      <w:r>
        <w:t xml:space="preserve"> chair</w:t>
      </w:r>
      <w:r w:rsidR="00846A81">
        <w:t>, and</w:t>
      </w:r>
      <w:r>
        <w:t xml:space="preserve"> reappointing </w:t>
      </w:r>
      <w:r w:rsidR="00846A81">
        <w:t xml:space="preserve">existing </w:t>
      </w:r>
      <w:r>
        <w:t xml:space="preserve">members </w:t>
      </w:r>
      <w:r w:rsidR="00846A81">
        <w:t>to</w:t>
      </w:r>
      <w:r w:rsidRPr="002E5685">
        <w:t xml:space="preserve"> the</w:t>
      </w:r>
      <w:r w:rsidR="00460170" w:rsidRPr="002E5685">
        <w:t xml:space="preserve"> Accessibility Standards Advisory Board (the Board)</w:t>
      </w:r>
      <w:r w:rsidR="00E91BA2">
        <w:t>.</w:t>
      </w:r>
    </w:p>
    <w:p w14:paraId="4D998C03" w14:textId="77777777" w:rsidR="002E5685" w:rsidRDefault="002E5685" w:rsidP="00082AF4"/>
    <w:p w14:paraId="1FD37BAF" w14:textId="53D77892" w:rsidR="00460170" w:rsidRDefault="002E5685" w:rsidP="00763906">
      <w:pPr>
        <w:pStyle w:val="ListParagraph"/>
        <w:numPr>
          <w:ilvl w:val="0"/>
          <w:numId w:val="7"/>
        </w:numPr>
      </w:pPr>
      <w:r>
        <w:t>Providing support</w:t>
      </w:r>
      <w:r w:rsidR="00763906">
        <w:t xml:space="preserve"> and guidance</w:t>
      </w:r>
      <w:r w:rsidR="00460170">
        <w:t xml:space="preserve"> </w:t>
      </w:r>
      <w:r w:rsidR="002B645C">
        <w:t>on</w:t>
      </w:r>
      <w:r w:rsidR="00B97F56">
        <w:t xml:space="preserve"> </w:t>
      </w:r>
      <w:r w:rsidR="004A569A">
        <w:t xml:space="preserve">the </w:t>
      </w:r>
      <w:r w:rsidR="00B97F56">
        <w:t>establish</w:t>
      </w:r>
      <w:r w:rsidR="004A569A">
        <w:t>ment and progress of the</w:t>
      </w:r>
      <w:r w:rsidR="00B97F56">
        <w:t xml:space="preserve"> </w:t>
      </w:r>
      <w:r w:rsidR="00460170">
        <w:t>standard development</w:t>
      </w:r>
      <w:r w:rsidR="002B645C">
        <w:t xml:space="preserve"> committees</w:t>
      </w:r>
      <w:r w:rsidR="004A569A">
        <w:t>.</w:t>
      </w:r>
      <w:r w:rsidR="00B97F56">
        <w:t xml:space="preserve"> </w:t>
      </w:r>
      <w:r w:rsidR="004A569A">
        <w:t>This</w:t>
      </w:r>
      <w:r w:rsidR="00B97F56">
        <w:t xml:space="preserve"> include</w:t>
      </w:r>
      <w:r w:rsidR="004A569A">
        <w:t>d</w:t>
      </w:r>
      <w:r w:rsidR="00B97F56">
        <w:t xml:space="preserve"> </w:t>
      </w:r>
      <w:r w:rsidR="004A569A">
        <w:t xml:space="preserve">supporting </w:t>
      </w:r>
      <w:r w:rsidR="00460170">
        <w:t xml:space="preserve">the </w:t>
      </w:r>
      <w:r>
        <w:t>Customer</w:t>
      </w:r>
      <w:r w:rsidR="00460170">
        <w:t xml:space="preserve"> Service standard </w:t>
      </w:r>
      <w:r w:rsidR="00E5368C">
        <w:t>development committee</w:t>
      </w:r>
      <w:r>
        <w:t xml:space="preserve"> </w:t>
      </w:r>
      <w:r w:rsidR="00E5368C">
        <w:t>and preparations</w:t>
      </w:r>
      <w:r w:rsidR="00460170">
        <w:t xml:space="preserve"> for </w:t>
      </w:r>
      <w:r w:rsidR="004A569A">
        <w:t xml:space="preserve">the establishment of the </w:t>
      </w:r>
      <w:r w:rsidR="00460170">
        <w:t xml:space="preserve">Information and Communication </w:t>
      </w:r>
      <w:r w:rsidR="004A569A">
        <w:t>s</w:t>
      </w:r>
      <w:r w:rsidR="00460170">
        <w:t xml:space="preserve">tandard </w:t>
      </w:r>
      <w:r w:rsidR="004A569A">
        <w:t>d</w:t>
      </w:r>
      <w:r w:rsidR="00460170">
        <w:t>evelopment committee.</w:t>
      </w:r>
    </w:p>
    <w:p w14:paraId="27027844" w14:textId="77777777" w:rsidR="002B645C" w:rsidRDefault="002B645C" w:rsidP="00082AF4"/>
    <w:p w14:paraId="40B4B2AA" w14:textId="5D4B2D4E" w:rsidR="00B97F56" w:rsidRDefault="00B97F56" w:rsidP="00763906">
      <w:pPr>
        <w:pStyle w:val="ListParagraph"/>
        <w:numPr>
          <w:ilvl w:val="0"/>
          <w:numId w:val="7"/>
        </w:numPr>
      </w:pPr>
      <w:r>
        <w:t xml:space="preserve">Ongoing </w:t>
      </w:r>
      <w:r w:rsidRPr="00B97F56">
        <w:t xml:space="preserve">work </w:t>
      </w:r>
      <w:r w:rsidR="004A569A">
        <w:t xml:space="preserve">to </w:t>
      </w:r>
      <w:r w:rsidR="00E5368C" w:rsidRPr="00B97F56">
        <w:t>meet</w:t>
      </w:r>
      <w:r w:rsidR="00E5368C">
        <w:t xml:space="preserve"> the</w:t>
      </w:r>
      <w:r w:rsidRPr="00B97F56">
        <w:t xml:space="preserve"> Government of Newfoundland and Labrador Accessibility </w:t>
      </w:r>
      <w:r w:rsidR="00E5368C" w:rsidRPr="00B97F56">
        <w:t>Plan’s</w:t>
      </w:r>
      <w:r w:rsidR="00E5368C">
        <w:t xml:space="preserve"> year</w:t>
      </w:r>
      <w:r>
        <w:t xml:space="preserve"> </w:t>
      </w:r>
      <w:r w:rsidR="004A569A">
        <w:t xml:space="preserve">one </w:t>
      </w:r>
      <w:r>
        <w:t>goal</w:t>
      </w:r>
      <w:r w:rsidR="004A569A">
        <w:t>s and objectives</w:t>
      </w:r>
      <w:r>
        <w:t xml:space="preserve"> with the support of </w:t>
      </w:r>
      <w:r w:rsidR="00404108">
        <w:t xml:space="preserve">all core government departments and </w:t>
      </w:r>
      <w:r w:rsidR="004A569A">
        <w:t xml:space="preserve">the </w:t>
      </w:r>
      <w:r>
        <w:t>Disability Policy Office (DPO)</w:t>
      </w:r>
      <w:r w:rsidR="00763906">
        <w:t>.</w:t>
      </w:r>
    </w:p>
    <w:p w14:paraId="517EFE87" w14:textId="77777777" w:rsidR="00763906" w:rsidRDefault="00763906" w:rsidP="00763906">
      <w:pPr>
        <w:pStyle w:val="ListParagraph"/>
      </w:pPr>
    </w:p>
    <w:p w14:paraId="3E00F38C" w14:textId="09FD934D" w:rsidR="002E5685" w:rsidRDefault="00763906" w:rsidP="00082AF4">
      <w:pPr>
        <w:pStyle w:val="ListParagraph"/>
        <w:numPr>
          <w:ilvl w:val="0"/>
          <w:numId w:val="7"/>
        </w:numPr>
      </w:pPr>
      <w:r>
        <w:t>Contin</w:t>
      </w:r>
      <w:r w:rsidR="00452CD0">
        <w:t>u</w:t>
      </w:r>
      <w:r>
        <w:t xml:space="preserve">ing </w:t>
      </w:r>
      <w:r w:rsidR="004A569A">
        <w:t xml:space="preserve">to </w:t>
      </w:r>
      <w:r>
        <w:t xml:space="preserve">engage </w:t>
      </w:r>
      <w:r w:rsidR="00B2279C">
        <w:t xml:space="preserve">and collaborate </w:t>
      </w:r>
      <w:r>
        <w:t xml:space="preserve">with </w:t>
      </w:r>
      <w:r w:rsidR="007E4CCE">
        <w:t xml:space="preserve">the community of and for persons with disabilities, and </w:t>
      </w:r>
      <w:r w:rsidR="00452CD0">
        <w:t>individuals</w:t>
      </w:r>
      <w:r>
        <w:t xml:space="preserve">, organizations and public bodies that </w:t>
      </w:r>
      <w:r w:rsidR="00B2279C">
        <w:t xml:space="preserve">will </w:t>
      </w:r>
      <w:r w:rsidR="00E5368C">
        <w:t>be subject</w:t>
      </w:r>
      <w:r>
        <w:t xml:space="preserve"> to </w:t>
      </w:r>
      <w:r w:rsidR="00B2279C">
        <w:t xml:space="preserve">future </w:t>
      </w:r>
      <w:r>
        <w:t>accessibility standards</w:t>
      </w:r>
      <w:r w:rsidR="00B2279C">
        <w:t>.</w:t>
      </w:r>
    </w:p>
    <w:p w14:paraId="295A2CBC" w14:textId="77777777" w:rsidR="003D079E" w:rsidRDefault="003D079E" w:rsidP="003D079E">
      <w:pPr>
        <w:pStyle w:val="ListParagraph"/>
      </w:pPr>
    </w:p>
    <w:p w14:paraId="5C98B5A3" w14:textId="1CEBCF43" w:rsidR="003D079E" w:rsidRDefault="00B2279C" w:rsidP="00EF3FEA">
      <w:pPr>
        <w:pStyle w:val="ListParagraph"/>
        <w:numPr>
          <w:ilvl w:val="0"/>
          <w:numId w:val="7"/>
        </w:numPr>
      </w:pPr>
      <w:r>
        <w:t>Leading the d</w:t>
      </w:r>
      <w:r w:rsidR="000B5483">
        <w:t>evelop</w:t>
      </w:r>
      <w:r>
        <w:t>ment</w:t>
      </w:r>
      <w:r w:rsidR="00E5368C">
        <w:t xml:space="preserve"> </w:t>
      </w:r>
      <w:r>
        <w:t>of</w:t>
      </w:r>
      <w:r w:rsidR="003D079E">
        <w:t xml:space="preserve"> the </w:t>
      </w:r>
      <w:r w:rsidR="00404108">
        <w:t xml:space="preserve">Newfoundland and Labrador </w:t>
      </w:r>
      <w:r w:rsidR="003D079E">
        <w:t>Disability Benefit</w:t>
      </w:r>
      <w:r w:rsidR="00E07737">
        <w:t xml:space="preserve"> (NLDB)</w:t>
      </w:r>
      <w:r w:rsidR="00390DDF">
        <w:t xml:space="preserve"> and w</w:t>
      </w:r>
      <w:r>
        <w:t xml:space="preserve">orking </w:t>
      </w:r>
      <w:r w:rsidR="00E5368C">
        <w:t>in collaboration with</w:t>
      </w:r>
      <w:r w:rsidR="00995308">
        <w:t xml:space="preserve"> the G</w:t>
      </w:r>
      <w:r w:rsidR="003D079E">
        <w:t>overnment of Canada</w:t>
      </w:r>
      <w:r w:rsidR="00E07737">
        <w:t xml:space="preserve"> </w:t>
      </w:r>
      <w:r w:rsidR="00404108">
        <w:t xml:space="preserve">to </w:t>
      </w:r>
      <w:r>
        <w:t>establish administrative process</w:t>
      </w:r>
      <w:r w:rsidR="00404108">
        <w:t>es</w:t>
      </w:r>
      <w:r>
        <w:t xml:space="preserve"> to deliver th</w:t>
      </w:r>
      <w:r w:rsidR="00404108">
        <w:t>is</w:t>
      </w:r>
      <w:r>
        <w:t xml:space="preserve"> benefit</w:t>
      </w:r>
      <w:r w:rsidR="00390DDF">
        <w:t>. In addition, w</w:t>
      </w:r>
      <w:r>
        <w:t xml:space="preserve">orking with our federal partners to deliver </w:t>
      </w:r>
      <w:r w:rsidR="003D079E">
        <w:t xml:space="preserve">information </w:t>
      </w:r>
      <w:r>
        <w:t xml:space="preserve">and awareness </w:t>
      </w:r>
      <w:r w:rsidR="003D079E">
        <w:t xml:space="preserve">sessions </w:t>
      </w:r>
      <w:r>
        <w:t xml:space="preserve">regarding the </w:t>
      </w:r>
      <w:r>
        <w:lastRenderedPageBreak/>
        <w:t xml:space="preserve">Disability Tax Credit, Registered </w:t>
      </w:r>
      <w:r w:rsidR="00E720CE">
        <w:t xml:space="preserve">Disability </w:t>
      </w:r>
      <w:r>
        <w:t>Savings Plans</w:t>
      </w:r>
      <w:r w:rsidR="00E720CE">
        <w:t xml:space="preserve"> (RDSP)</w:t>
      </w:r>
      <w:r>
        <w:t xml:space="preserve"> and the NLDB </w:t>
      </w:r>
      <w:r w:rsidR="00390DDF">
        <w:t xml:space="preserve">with the goal </w:t>
      </w:r>
      <w:r w:rsidR="003D079E">
        <w:t xml:space="preserve">to </w:t>
      </w:r>
      <w:r>
        <w:t xml:space="preserve">help </w:t>
      </w:r>
      <w:r w:rsidR="003D079E">
        <w:t xml:space="preserve">inform </w:t>
      </w:r>
      <w:r w:rsidR="00164557">
        <w:t>Newfoundlanders and Labradorians</w:t>
      </w:r>
      <w:r w:rsidR="003D079E">
        <w:t xml:space="preserve"> with disabilities</w:t>
      </w:r>
      <w:r w:rsidR="0012408D">
        <w:t xml:space="preserve"> </w:t>
      </w:r>
      <w:r w:rsidR="00404108">
        <w:t>about</w:t>
      </w:r>
      <w:r w:rsidR="0012408D">
        <w:t xml:space="preserve"> th</w:t>
      </w:r>
      <w:r>
        <w:t>ese</w:t>
      </w:r>
      <w:r w:rsidR="0012408D">
        <w:t xml:space="preserve"> benefit</w:t>
      </w:r>
      <w:r w:rsidR="00CB5551">
        <w:t>s</w:t>
      </w:r>
      <w:r w:rsidR="0012408D">
        <w:t>.</w:t>
      </w:r>
      <w:r w:rsidR="003D079E" w:rsidRPr="003D079E">
        <w:t xml:space="preserve"> </w:t>
      </w:r>
      <w:r w:rsidR="003D079E" w:rsidRPr="009D2158">
        <w:t>The NL</w:t>
      </w:r>
      <w:r w:rsidR="003D079E">
        <w:t>DB</w:t>
      </w:r>
      <w:r w:rsidR="003D079E" w:rsidRPr="009D2158">
        <w:t xml:space="preserve"> </w:t>
      </w:r>
      <w:r w:rsidR="00390DDF">
        <w:t xml:space="preserve">was publicly announced in June 2024 and </w:t>
      </w:r>
      <w:r w:rsidR="00E720CE">
        <w:t xml:space="preserve">payments of up to $400 per month </w:t>
      </w:r>
      <w:r w:rsidR="00E720CE" w:rsidRPr="009D2158">
        <w:t xml:space="preserve">to qualifying persons with disabilities </w:t>
      </w:r>
      <w:r w:rsidR="003D079E" w:rsidRPr="009D2158">
        <w:t>will come into effect July 2025</w:t>
      </w:r>
      <w:r w:rsidR="00390DDF">
        <w:t>.</w:t>
      </w:r>
      <w:r w:rsidR="003D079E" w:rsidRPr="009D2158">
        <w:t xml:space="preserve"> </w:t>
      </w:r>
      <w:r w:rsidR="00E720CE">
        <w:t xml:space="preserve">Work is ongoing to implement the </w:t>
      </w:r>
      <w:r w:rsidR="003D079E" w:rsidRPr="009D2158">
        <w:t xml:space="preserve">$1,200 annual </w:t>
      </w:r>
      <w:r w:rsidR="00E720CE" w:rsidRPr="009D2158">
        <w:t>RDSP</w:t>
      </w:r>
      <w:r w:rsidR="00E720CE">
        <w:t xml:space="preserve"> </w:t>
      </w:r>
      <w:r w:rsidR="003D079E" w:rsidRPr="009D2158">
        <w:t xml:space="preserve">contribution </w:t>
      </w:r>
      <w:r w:rsidR="00E720CE">
        <w:t>for qualified individuals</w:t>
      </w:r>
      <w:r w:rsidR="003D079E" w:rsidRPr="009D2158">
        <w:t xml:space="preserve">.  The </w:t>
      </w:r>
      <w:r w:rsidR="007A6F83">
        <w:t>NLDB</w:t>
      </w:r>
      <w:r w:rsidR="003D079E" w:rsidRPr="009D2158">
        <w:t xml:space="preserve"> is in addition to other provincial financial supports that persons with disabilities may receive. </w:t>
      </w:r>
    </w:p>
    <w:p w14:paraId="4CD7A8A0" w14:textId="77777777" w:rsidR="00A3601E" w:rsidRDefault="00A3601E" w:rsidP="00082AF4"/>
    <w:p w14:paraId="086CF2F9" w14:textId="31E65EBC" w:rsidR="00A3601E" w:rsidRPr="00D06408" w:rsidRDefault="00A3601E" w:rsidP="00EF6680">
      <w:pPr>
        <w:pStyle w:val="Heading2"/>
        <w:rPr>
          <w:b/>
          <w:bCs/>
          <w:color w:val="000000" w:themeColor="text1"/>
          <w:sz w:val="28"/>
          <w:szCs w:val="28"/>
        </w:rPr>
      </w:pPr>
      <w:bookmarkStart w:id="3" w:name="_Toc212467603"/>
      <w:r w:rsidRPr="00D06408">
        <w:rPr>
          <w:b/>
          <w:bCs/>
          <w:color w:val="000000" w:themeColor="text1"/>
          <w:sz w:val="28"/>
          <w:szCs w:val="28"/>
        </w:rPr>
        <w:t>Accessibility Plans</w:t>
      </w:r>
      <w:bookmarkEnd w:id="3"/>
      <w:r w:rsidR="00B97F56" w:rsidRPr="00D06408">
        <w:rPr>
          <w:b/>
          <w:bCs/>
          <w:color w:val="000000" w:themeColor="text1"/>
          <w:sz w:val="28"/>
          <w:szCs w:val="28"/>
        </w:rPr>
        <w:t xml:space="preserve"> </w:t>
      </w:r>
    </w:p>
    <w:p w14:paraId="37653C40" w14:textId="73B12E58" w:rsidR="00B97F56" w:rsidRDefault="00B97F56" w:rsidP="00B97F56">
      <w:pPr>
        <w:rPr>
          <w:b/>
          <w:bCs/>
        </w:rPr>
      </w:pPr>
      <w:r>
        <w:t>With the support of DPO,</w:t>
      </w:r>
      <w:r w:rsidRPr="00460170">
        <w:t xml:space="preserve"> public bodies</w:t>
      </w:r>
      <w:r>
        <w:t xml:space="preserve"> were </w:t>
      </w:r>
      <w:r w:rsidR="007A6F83">
        <w:t>provide</w:t>
      </w:r>
      <w:r w:rsidR="00D52321">
        <w:t xml:space="preserve">d education </w:t>
      </w:r>
      <w:r w:rsidR="00E5368C">
        <w:t>and guidance</w:t>
      </w:r>
      <w:r>
        <w:t xml:space="preserve"> on </w:t>
      </w:r>
      <w:r w:rsidR="007A6F83">
        <w:t xml:space="preserve">developing </w:t>
      </w:r>
      <w:r>
        <w:t>their accessibility plans</w:t>
      </w:r>
      <w:r w:rsidR="00D52321">
        <w:t>.</w:t>
      </w:r>
      <w:r w:rsidR="00E07737">
        <w:rPr>
          <w:b/>
          <w:bCs/>
        </w:rPr>
        <w:t xml:space="preserve"> </w:t>
      </w:r>
      <w:r w:rsidR="00312292" w:rsidRPr="00312292">
        <w:t>This process i</w:t>
      </w:r>
      <w:r w:rsidR="00E720CE">
        <w:t>s</w:t>
      </w:r>
      <w:r w:rsidR="00312292" w:rsidRPr="00312292">
        <w:t xml:space="preserve"> ongoing</w:t>
      </w:r>
      <w:r w:rsidR="00312292">
        <w:rPr>
          <w:b/>
          <w:bCs/>
        </w:rPr>
        <w:t xml:space="preserve"> </w:t>
      </w:r>
      <w:r w:rsidR="00E07737">
        <w:t>to help ensure compliance</w:t>
      </w:r>
      <w:r w:rsidR="00D52321">
        <w:t xml:space="preserve"> with the </w:t>
      </w:r>
      <w:r w:rsidR="00D52321" w:rsidRPr="00E720CE">
        <w:rPr>
          <w:b/>
          <w:bCs/>
        </w:rPr>
        <w:t>Accessibility Act</w:t>
      </w:r>
      <w:r w:rsidR="00E07737" w:rsidRPr="00E07737">
        <w:t>.</w:t>
      </w:r>
    </w:p>
    <w:p w14:paraId="41C52317" w14:textId="77777777" w:rsidR="00B97F56" w:rsidRDefault="00B97F56" w:rsidP="00B97F56"/>
    <w:p w14:paraId="44E8EFA5" w14:textId="6F4BCC3E" w:rsidR="00E07737" w:rsidRDefault="00312292" w:rsidP="00B97F56">
      <w:r>
        <w:t>In 2024-25 t</w:t>
      </w:r>
      <w:r w:rsidR="00B97F56">
        <w:t xml:space="preserve">he </w:t>
      </w:r>
      <w:r w:rsidR="00D52321">
        <w:t>Provincial G</w:t>
      </w:r>
      <w:r w:rsidR="00B97F56">
        <w:t>overnment</w:t>
      </w:r>
      <w:r w:rsidR="00003BE2">
        <w:t xml:space="preserve"> worked on the goal</w:t>
      </w:r>
      <w:r>
        <w:t xml:space="preserve">s and </w:t>
      </w:r>
      <w:r w:rsidR="00003BE2">
        <w:t xml:space="preserve">targets </w:t>
      </w:r>
      <w:r>
        <w:t xml:space="preserve">identified in </w:t>
      </w:r>
      <w:r w:rsidR="00D52321">
        <w:t>the</w:t>
      </w:r>
      <w:r w:rsidR="00003BE2">
        <w:t xml:space="preserve"> </w:t>
      </w:r>
      <w:r w:rsidR="00003BE2" w:rsidRPr="00003BE2">
        <w:t>Accessibility Plan</w:t>
      </w:r>
      <w:r w:rsidR="00D52321">
        <w:t xml:space="preserve"> 2024-2026</w:t>
      </w:r>
      <w:r w:rsidR="00003BE2" w:rsidRPr="00003BE2">
        <w:t xml:space="preserve"> </w:t>
      </w:r>
      <w:r w:rsidR="00864AEF">
        <w:t>that</w:t>
      </w:r>
      <w:r w:rsidR="00003BE2" w:rsidRPr="00003BE2">
        <w:t xml:space="preserve"> includes:</w:t>
      </w:r>
    </w:p>
    <w:p w14:paraId="0ED16FAB" w14:textId="77777777" w:rsidR="00003BE2" w:rsidRPr="00003BE2" w:rsidRDefault="00003BE2" w:rsidP="00B97F56"/>
    <w:p w14:paraId="485ACDCF" w14:textId="77777777" w:rsidR="00003BE2" w:rsidRPr="00003BE2" w:rsidRDefault="00003BE2" w:rsidP="00003BE2">
      <w:r w:rsidRPr="00003BE2">
        <w:t>1. Accessibility/Disability Training Development</w:t>
      </w:r>
    </w:p>
    <w:p w14:paraId="5E965B2F" w14:textId="4EC5F634" w:rsidR="00003BE2" w:rsidRPr="00003BE2" w:rsidRDefault="00003BE2" w:rsidP="00003BE2">
      <w:pPr>
        <w:numPr>
          <w:ilvl w:val="0"/>
          <w:numId w:val="9"/>
        </w:numPr>
      </w:pPr>
      <w:r w:rsidRPr="00003BE2">
        <w:t xml:space="preserve">Two eLearning courses are in development for </w:t>
      </w:r>
      <w:r>
        <w:t>P</w:t>
      </w:r>
      <w:r w:rsidRPr="00003BE2">
        <w:t xml:space="preserve">ublic </w:t>
      </w:r>
      <w:r>
        <w:t xml:space="preserve">Service </w:t>
      </w:r>
      <w:r w:rsidR="00D52321">
        <w:t>employees</w:t>
      </w:r>
      <w:r w:rsidRPr="00003BE2">
        <w:t>:</w:t>
      </w:r>
    </w:p>
    <w:p w14:paraId="493503DF" w14:textId="766ADE68" w:rsidR="00003BE2" w:rsidRPr="00003BE2" w:rsidRDefault="00003BE2" w:rsidP="00003BE2">
      <w:pPr>
        <w:numPr>
          <w:ilvl w:val="1"/>
          <w:numId w:val="9"/>
        </w:numPr>
      </w:pPr>
      <w:r w:rsidRPr="00003BE2">
        <w:t>Accessibility Awareness and Action Planning</w:t>
      </w:r>
      <w:r w:rsidR="00D52321">
        <w:t xml:space="preserve"> which </w:t>
      </w:r>
      <w:r w:rsidRPr="00003BE2">
        <w:t>focuse</w:t>
      </w:r>
      <w:r w:rsidR="00D52321">
        <w:t>s</w:t>
      </w:r>
      <w:r w:rsidRPr="00003BE2">
        <w:t xml:space="preserve"> on the </w:t>
      </w:r>
      <w:r w:rsidRPr="00E720CE">
        <w:rPr>
          <w:b/>
          <w:bCs/>
        </w:rPr>
        <w:t>Accessibility Act</w:t>
      </w:r>
      <w:r w:rsidRPr="00003BE2">
        <w:t>, accessibility plans and how to build accessibility into work environments, policies and programs.</w:t>
      </w:r>
    </w:p>
    <w:p w14:paraId="11E26E23" w14:textId="2D0EE0A9" w:rsidR="00003BE2" w:rsidRPr="00003BE2" w:rsidRDefault="00003BE2" w:rsidP="00003BE2">
      <w:pPr>
        <w:numPr>
          <w:ilvl w:val="1"/>
          <w:numId w:val="9"/>
        </w:numPr>
      </w:pPr>
      <w:r w:rsidRPr="00003BE2">
        <w:t>Disability and Accessibility Awareness </w:t>
      </w:r>
      <w:r w:rsidR="00D52321">
        <w:t xml:space="preserve">is a </w:t>
      </w:r>
      <w:r w:rsidRPr="00003BE2">
        <w:t xml:space="preserve">course </w:t>
      </w:r>
      <w:r w:rsidR="00312292">
        <w:t xml:space="preserve">under </w:t>
      </w:r>
      <w:r w:rsidRPr="00003BE2">
        <w:t>develop</w:t>
      </w:r>
      <w:r w:rsidR="00312292">
        <w:t xml:space="preserve">ment </w:t>
      </w:r>
      <w:r w:rsidR="00C20C98" w:rsidRPr="00C20C98">
        <w:t xml:space="preserve">in collaboration with the community of and for persons with disabilities </w:t>
      </w:r>
      <w:r w:rsidR="00D3675B">
        <w:t>that focuses on</w:t>
      </w:r>
      <w:r w:rsidR="00C20C98" w:rsidRPr="00C20C98">
        <w:t xml:space="preserve"> cross-disability and accessibility awareness training, with the goal that this training be delivered to all public service employees</w:t>
      </w:r>
      <w:r w:rsidR="00C20C98">
        <w:t>.</w:t>
      </w:r>
    </w:p>
    <w:p w14:paraId="63218A5C" w14:textId="77777777" w:rsidR="00003BE2" w:rsidRPr="00003BE2" w:rsidRDefault="00003BE2" w:rsidP="00003BE2">
      <w:r w:rsidRPr="00003BE2">
        <w:t>2. Improving Accessibility in Training</w:t>
      </w:r>
    </w:p>
    <w:p w14:paraId="18C5C856" w14:textId="65171A5D" w:rsidR="00003BE2" w:rsidRPr="00003BE2" w:rsidRDefault="007435AC" w:rsidP="00003BE2">
      <w:pPr>
        <w:numPr>
          <w:ilvl w:val="0"/>
          <w:numId w:val="10"/>
        </w:numPr>
      </w:pPr>
      <w:r>
        <w:t>Twenty (</w:t>
      </w:r>
      <w:r w:rsidR="00003BE2" w:rsidRPr="00003BE2">
        <w:t>20</w:t>
      </w:r>
      <w:r>
        <w:t>)</w:t>
      </w:r>
      <w:r w:rsidR="00003BE2" w:rsidRPr="00003BE2">
        <w:t xml:space="preserve"> existing courses identified for </w:t>
      </w:r>
      <w:r>
        <w:t xml:space="preserve">an </w:t>
      </w:r>
      <w:r w:rsidR="00003BE2" w:rsidRPr="00003BE2">
        <w:t>upgrade using RISE eLearning software.</w:t>
      </w:r>
    </w:p>
    <w:p w14:paraId="76A347B5" w14:textId="725CF4A4" w:rsidR="00003BE2" w:rsidRPr="00003BE2" w:rsidRDefault="00003BE2" w:rsidP="00003BE2">
      <w:pPr>
        <w:numPr>
          <w:ilvl w:val="0"/>
          <w:numId w:val="10"/>
        </w:numPr>
      </w:pPr>
      <w:r w:rsidRPr="00003BE2">
        <w:t xml:space="preserve">The following eLearning courses for </w:t>
      </w:r>
      <w:r>
        <w:t xml:space="preserve">the Public Service staff </w:t>
      </w:r>
      <w:r w:rsidRPr="00003BE2">
        <w:t>have been updated to enhance accessibility: Fraud Prevention and Detection, Fostering a Harassment-Free Workplace, Internal Controls, and Green Procurement.</w:t>
      </w:r>
    </w:p>
    <w:p w14:paraId="7102DAFE" w14:textId="30A7E9B4" w:rsidR="00003BE2" w:rsidRPr="00003BE2" w:rsidRDefault="00003BE2" w:rsidP="00003BE2">
      <w:r w:rsidRPr="00003BE2">
        <w:t>3. Accessible Communications Policy</w:t>
      </w:r>
    </w:p>
    <w:p w14:paraId="15984660" w14:textId="4D484C0C" w:rsidR="00003BE2" w:rsidRPr="00003BE2" w:rsidRDefault="00003BE2" w:rsidP="00003BE2">
      <w:pPr>
        <w:numPr>
          <w:ilvl w:val="0"/>
          <w:numId w:val="11"/>
        </w:numPr>
      </w:pPr>
      <w:r w:rsidRPr="00003BE2">
        <w:t>Oversight committee formed</w:t>
      </w:r>
      <w:r w:rsidR="007435AC">
        <w:t xml:space="preserve"> to ensure application of the policy.</w:t>
      </w:r>
    </w:p>
    <w:p w14:paraId="0DD08D58" w14:textId="77777777" w:rsidR="00003BE2" w:rsidRPr="00003BE2" w:rsidRDefault="00003BE2" w:rsidP="00003BE2">
      <w:pPr>
        <w:numPr>
          <w:ilvl w:val="0"/>
          <w:numId w:val="11"/>
        </w:numPr>
      </w:pPr>
      <w:r w:rsidRPr="00003BE2">
        <w:t>Accessible Communications Policy revised and in final stage of review process.</w:t>
      </w:r>
    </w:p>
    <w:p w14:paraId="14CB32DA" w14:textId="77777777" w:rsidR="00003BE2" w:rsidRPr="00003BE2" w:rsidRDefault="00003BE2" w:rsidP="00003BE2">
      <w:pPr>
        <w:numPr>
          <w:ilvl w:val="0"/>
          <w:numId w:val="11"/>
        </w:numPr>
      </w:pPr>
      <w:r w:rsidRPr="00003BE2">
        <w:t>Online accessibility resource developed and undergoing peer review by Web Services and Communications.</w:t>
      </w:r>
    </w:p>
    <w:p w14:paraId="526A8C6B" w14:textId="77777777" w:rsidR="00003BE2" w:rsidRPr="00003BE2" w:rsidRDefault="00003BE2" w:rsidP="00003BE2">
      <w:r w:rsidRPr="00003BE2">
        <w:t>4. Software Accessibility (Microsoft 365 Rollout)</w:t>
      </w:r>
    </w:p>
    <w:p w14:paraId="5C99B9B0" w14:textId="77777777" w:rsidR="00003BE2" w:rsidRPr="00003BE2" w:rsidRDefault="00003BE2" w:rsidP="00003BE2">
      <w:pPr>
        <w:numPr>
          <w:ilvl w:val="0"/>
          <w:numId w:val="12"/>
        </w:numPr>
      </w:pPr>
      <w:r w:rsidRPr="00003BE2">
        <w:t>All departments trained on M365 with accessibility features.</w:t>
      </w:r>
    </w:p>
    <w:p w14:paraId="10758675" w14:textId="77777777" w:rsidR="00003BE2" w:rsidRPr="00003BE2" w:rsidRDefault="00003BE2" w:rsidP="00003BE2">
      <w:pPr>
        <w:numPr>
          <w:ilvl w:val="0"/>
          <w:numId w:val="12"/>
        </w:numPr>
      </w:pPr>
      <w:r w:rsidRPr="00003BE2">
        <w:t>Dedicated accessibility tab launched on the “Welcome to M365” Teams site.</w:t>
      </w:r>
    </w:p>
    <w:p w14:paraId="07B3F11A" w14:textId="77777777" w:rsidR="00003BE2" w:rsidRPr="00003BE2" w:rsidRDefault="00003BE2" w:rsidP="00003BE2">
      <w:pPr>
        <w:numPr>
          <w:ilvl w:val="0"/>
          <w:numId w:val="12"/>
        </w:numPr>
      </w:pPr>
      <w:r w:rsidRPr="00003BE2">
        <w:t>Executive teams across departments received targeted training.</w:t>
      </w:r>
    </w:p>
    <w:p w14:paraId="1D352792" w14:textId="77777777" w:rsidR="00003BE2" w:rsidRPr="00003BE2" w:rsidRDefault="00003BE2" w:rsidP="00003BE2">
      <w:pPr>
        <w:numPr>
          <w:ilvl w:val="0"/>
          <w:numId w:val="12"/>
        </w:numPr>
      </w:pPr>
      <w:r w:rsidRPr="00003BE2">
        <w:t>Webinars on M365 accessibility features launched April 28, 2025.</w:t>
      </w:r>
    </w:p>
    <w:p w14:paraId="1B3BDD90" w14:textId="77777777" w:rsidR="00003BE2" w:rsidRPr="00003BE2" w:rsidRDefault="00003BE2" w:rsidP="00003BE2">
      <w:r w:rsidRPr="00003BE2">
        <w:t>5. Accessibility Study of Government Buildings</w:t>
      </w:r>
    </w:p>
    <w:p w14:paraId="62AFA8C3" w14:textId="46594894" w:rsidR="00003BE2" w:rsidRPr="00003BE2" w:rsidRDefault="00003BE2" w:rsidP="00003BE2">
      <w:pPr>
        <w:numPr>
          <w:ilvl w:val="0"/>
          <w:numId w:val="13"/>
        </w:numPr>
      </w:pPr>
      <w:r w:rsidRPr="00003BE2">
        <w:t xml:space="preserve">Site visits completed and reports received for all </w:t>
      </w:r>
      <w:r w:rsidR="007435AC">
        <w:t>twenty (</w:t>
      </w:r>
      <w:r w:rsidRPr="00003BE2">
        <w:t>20</w:t>
      </w:r>
      <w:r w:rsidR="007435AC">
        <w:t>)</w:t>
      </w:r>
      <w:r w:rsidRPr="00003BE2">
        <w:t xml:space="preserve"> buildings.</w:t>
      </w:r>
    </w:p>
    <w:p w14:paraId="07EA3DAD" w14:textId="77777777" w:rsidR="00003BE2" w:rsidRPr="00003BE2" w:rsidRDefault="00003BE2" w:rsidP="00003BE2">
      <w:r w:rsidRPr="00003BE2">
        <w:t>6. Selection Board Chair (SBC) Training Enhancements</w:t>
      </w:r>
    </w:p>
    <w:p w14:paraId="404CBA7D" w14:textId="77777777" w:rsidR="00003BE2" w:rsidRPr="00003BE2" w:rsidRDefault="00003BE2" w:rsidP="00003BE2">
      <w:pPr>
        <w:numPr>
          <w:ilvl w:val="0"/>
          <w:numId w:val="14"/>
        </w:numPr>
      </w:pPr>
      <w:r w:rsidRPr="00003BE2">
        <w:t xml:space="preserve">Disability awareness integrated into SBC training. </w:t>
      </w:r>
    </w:p>
    <w:p w14:paraId="5A9B206E" w14:textId="240EB305" w:rsidR="00003BE2" w:rsidRPr="00003BE2" w:rsidRDefault="00003BE2" w:rsidP="00003BE2">
      <w:pPr>
        <w:numPr>
          <w:ilvl w:val="0"/>
          <w:numId w:val="14"/>
        </w:numPr>
      </w:pPr>
      <w:r w:rsidRPr="00003BE2">
        <w:lastRenderedPageBreak/>
        <w:t>Progress is being made in collaboration with C</w:t>
      </w:r>
      <w:r>
        <w:t>entre of Learning and Development (C</w:t>
      </w:r>
      <w:r w:rsidRPr="00003BE2">
        <w:t>LD</w:t>
      </w:r>
      <w:r>
        <w:t>)</w:t>
      </w:r>
      <w:r w:rsidRPr="00003BE2">
        <w:t xml:space="preserve"> to explore how existing PSAccess course offerings can be made available to SBCs within Delegated Staffing Authorities.</w:t>
      </w:r>
    </w:p>
    <w:p w14:paraId="5B58FA12" w14:textId="6A423CF1" w:rsidR="00003BE2" w:rsidRPr="00003BE2" w:rsidRDefault="001D6537" w:rsidP="00003BE2">
      <w:pPr>
        <w:numPr>
          <w:ilvl w:val="0"/>
          <w:numId w:val="14"/>
        </w:numPr>
      </w:pPr>
      <w:r w:rsidRPr="001D6537">
        <w:rPr>
          <w:rFonts w:eastAsia="Calibri"/>
          <w:color w:val="000000"/>
          <w:kern w:val="2"/>
          <w14:ligatures w14:val="standardContextual"/>
        </w:rPr>
        <w:t>The PowerPoint used in SBC training has been reviewed and improved to include a stronger focus on disability awareness</w:t>
      </w:r>
      <w:r w:rsidR="007435AC">
        <w:rPr>
          <w:rFonts w:eastAsia="Calibri"/>
          <w:color w:val="000000"/>
          <w:kern w:val="2"/>
          <w14:ligatures w14:val="standardContextual"/>
        </w:rPr>
        <w:t>.</w:t>
      </w:r>
      <w:r w:rsidRPr="00003BE2">
        <w:t xml:space="preserve"> </w:t>
      </w:r>
    </w:p>
    <w:p w14:paraId="7F7E7D65" w14:textId="77777777" w:rsidR="00003BE2" w:rsidRPr="00003BE2" w:rsidRDefault="00003BE2" w:rsidP="00003BE2">
      <w:r w:rsidRPr="00003BE2">
        <w:t>7. Recruitment Process Accessibility Review</w:t>
      </w:r>
    </w:p>
    <w:p w14:paraId="329D8B5F" w14:textId="64E9D072" w:rsidR="00003BE2" w:rsidRPr="00003BE2" w:rsidRDefault="00CD0484" w:rsidP="00003BE2">
      <w:pPr>
        <w:numPr>
          <w:ilvl w:val="0"/>
          <w:numId w:val="15"/>
        </w:numPr>
      </w:pPr>
      <w:r>
        <w:t>Public Service Commission (</w:t>
      </w:r>
      <w:r w:rsidR="00003BE2" w:rsidRPr="00003BE2">
        <w:t>PSC</w:t>
      </w:r>
      <w:r>
        <w:t>)</w:t>
      </w:r>
      <w:r w:rsidR="00003BE2" w:rsidRPr="00003BE2">
        <w:t xml:space="preserve"> reviewed current recruitment practices </w:t>
      </w:r>
      <w:r w:rsidR="00E5368C" w:rsidRPr="00003BE2">
        <w:t>with primary</w:t>
      </w:r>
      <w:r w:rsidR="00003BE2" w:rsidRPr="00003BE2">
        <w:t xml:space="preserve"> recruiters and recruitment management teams, as well as corporate leadership.</w:t>
      </w:r>
    </w:p>
    <w:p w14:paraId="60F882C4" w14:textId="77777777" w:rsidR="00003BE2" w:rsidRPr="00003BE2" w:rsidRDefault="00003BE2" w:rsidP="00003BE2">
      <w:pPr>
        <w:numPr>
          <w:ilvl w:val="0"/>
          <w:numId w:val="15"/>
        </w:numPr>
      </w:pPr>
      <w:r w:rsidRPr="00003BE2">
        <w:t>Feedback compiled; recommendations to be made in 2025.</w:t>
      </w:r>
    </w:p>
    <w:p w14:paraId="38BD8F71" w14:textId="77777777" w:rsidR="00003BE2" w:rsidRPr="00003BE2" w:rsidRDefault="00003BE2" w:rsidP="00003BE2">
      <w:r w:rsidRPr="00003BE2">
        <w:t>8. Accessible Procurement Improvements</w:t>
      </w:r>
    </w:p>
    <w:p w14:paraId="5B34ADA7" w14:textId="67E5A8A6" w:rsidR="00003BE2" w:rsidRPr="00003BE2" w:rsidRDefault="00CD0484" w:rsidP="00003BE2">
      <w:pPr>
        <w:numPr>
          <w:ilvl w:val="0"/>
          <w:numId w:val="16"/>
        </w:numPr>
      </w:pPr>
      <w:r>
        <w:t>Public Procurement Agency (</w:t>
      </w:r>
      <w:r w:rsidR="00003BE2" w:rsidRPr="00003BE2">
        <w:t>PPA</w:t>
      </w:r>
      <w:r>
        <w:t>)</w:t>
      </w:r>
      <w:r w:rsidR="00003BE2" w:rsidRPr="00003BE2">
        <w:t xml:space="preserve"> worked </w:t>
      </w:r>
      <w:r w:rsidR="001D6537" w:rsidRPr="001D6537">
        <w:rPr>
          <w:bCs/>
        </w:rPr>
        <w:t>with its online procurement platform provider (MERX)</w:t>
      </w:r>
      <w:r w:rsidR="00003BE2" w:rsidRPr="00003BE2">
        <w:t xml:space="preserve"> to identify enhancements like descriptive links and screen reader compatibility.</w:t>
      </w:r>
    </w:p>
    <w:p w14:paraId="0EF6C413" w14:textId="2DCD6023" w:rsidR="00003BE2" w:rsidRPr="00003BE2" w:rsidRDefault="00003BE2" w:rsidP="00003BE2">
      <w:pPr>
        <w:numPr>
          <w:ilvl w:val="0"/>
          <w:numId w:val="16"/>
        </w:numPr>
      </w:pPr>
      <w:r w:rsidRPr="00003BE2">
        <w:t>Improvements to be implemented in 2025 where practicable</w:t>
      </w:r>
      <w:r w:rsidR="001D6537">
        <w:t xml:space="preserve"> to enhance the accessibility of bid documents</w:t>
      </w:r>
      <w:r w:rsidRPr="00003BE2">
        <w:t>.</w:t>
      </w:r>
    </w:p>
    <w:p w14:paraId="2BCCCFAA" w14:textId="77777777" w:rsidR="00003BE2" w:rsidRPr="00003BE2" w:rsidRDefault="00003BE2" w:rsidP="00003BE2">
      <w:r w:rsidRPr="00003BE2">
        <w:t>9. Departmental Accessibility Leads and Oversight Committee</w:t>
      </w:r>
    </w:p>
    <w:p w14:paraId="6B478086" w14:textId="77777777" w:rsidR="00003BE2" w:rsidRPr="00003BE2" w:rsidRDefault="00003BE2" w:rsidP="00003BE2">
      <w:pPr>
        <w:numPr>
          <w:ilvl w:val="0"/>
          <w:numId w:val="17"/>
        </w:numPr>
      </w:pPr>
      <w:r w:rsidRPr="00003BE2">
        <w:t>An Accessibility Oversight Committee with representation from each department (accessibility leads) has been established. </w:t>
      </w:r>
    </w:p>
    <w:p w14:paraId="311A97BB" w14:textId="77777777" w:rsidR="00003BE2" w:rsidRPr="00003BE2" w:rsidRDefault="00003BE2" w:rsidP="00003BE2">
      <w:pPr>
        <w:numPr>
          <w:ilvl w:val="0"/>
          <w:numId w:val="17"/>
        </w:numPr>
      </w:pPr>
      <w:r w:rsidRPr="00003BE2">
        <w:t>During 2024, the Accessibility Oversight Committee collaborated to advance and evaluate progress on the goals outlined in the Accessibility Plan 2024-26.</w:t>
      </w:r>
    </w:p>
    <w:p w14:paraId="56B1DCB3" w14:textId="77777777" w:rsidR="00A3601E" w:rsidRPr="00587D91" w:rsidRDefault="00A3601E" w:rsidP="00082AF4"/>
    <w:p w14:paraId="14DF5C0A" w14:textId="77777777" w:rsidR="00A3601E" w:rsidRPr="00D06408" w:rsidRDefault="00A3601E" w:rsidP="00EF6680">
      <w:pPr>
        <w:pStyle w:val="Heading2"/>
        <w:rPr>
          <w:b/>
          <w:bCs/>
          <w:color w:val="000000" w:themeColor="text1"/>
          <w:sz w:val="28"/>
          <w:szCs w:val="28"/>
        </w:rPr>
      </w:pPr>
      <w:bookmarkStart w:id="4" w:name="_Toc212467604"/>
      <w:r w:rsidRPr="00D06408">
        <w:rPr>
          <w:b/>
          <w:bCs/>
          <w:color w:val="000000" w:themeColor="text1"/>
          <w:sz w:val="28"/>
          <w:szCs w:val="28"/>
        </w:rPr>
        <w:t>Accessibility Standards</w:t>
      </w:r>
      <w:bookmarkEnd w:id="4"/>
    </w:p>
    <w:p w14:paraId="57DAA7A6" w14:textId="77777777" w:rsidR="00A3601E" w:rsidRPr="00587D91" w:rsidRDefault="00A3601E" w:rsidP="00082AF4"/>
    <w:p w14:paraId="174019C7" w14:textId="2F978F3D" w:rsidR="0012408D" w:rsidRDefault="00123852" w:rsidP="0012408D">
      <w:bookmarkStart w:id="5" w:name="_Hlk167194058"/>
      <w:r>
        <w:t xml:space="preserve">In </w:t>
      </w:r>
      <w:r w:rsidR="007B6CB1">
        <w:t xml:space="preserve">the Fall of </w:t>
      </w:r>
      <w:r>
        <w:t>2024, the process of four</w:t>
      </w:r>
      <w:r w:rsidR="00BD4363">
        <w:t xml:space="preserve"> Board</w:t>
      </w:r>
      <w:r>
        <w:t xml:space="preserve"> reappointments</w:t>
      </w:r>
      <w:r w:rsidR="0072287C">
        <w:t>,</w:t>
      </w:r>
      <w:r>
        <w:t xml:space="preserve"> the appointment of the </w:t>
      </w:r>
      <w:r w:rsidR="003B5938">
        <w:t>c</w:t>
      </w:r>
      <w:r>
        <w:t xml:space="preserve">hair and two new </w:t>
      </w:r>
      <w:r w:rsidR="00774FD5">
        <w:t xml:space="preserve">Board </w:t>
      </w:r>
      <w:r>
        <w:t>members were completed.</w:t>
      </w:r>
      <w:r w:rsidRPr="0075369B">
        <w:t xml:space="preserve"> </w:t>
      </w:r>
      <w:r>
        <w:t>The vice chair appointment process is anticipated to be completed in 2025-26.</w:t>
      </w:r>
      <w:r w:rsidR="00BD4363">
        <w:t xml:space="preserve"> This will ensure the continuity of standard development.</w:t>
      </w:r>
      <w:r w:rsidR="0012408D" w:rsidRPr="0012408D">
        <w:t xml:space="preserve"> </w:t>
      </w:r>
      <w:r w:rsidR="0012408D">
        <w:t>In December 2024, the Minister approve</w:t>
      </w:r>
      <w:r w:rsidR="0072287C">
        <w:t>d</w:t>
      </w:r>
      <w:r w:rsidR="0012408D">
        <w:t xml:space="preserve"> the Board’s request to increase </w:t>
      </w:r>
      <w:r w:rsidR="007435AC">
        <w:t xml:space="preserve">the </w:t>
      </w:r>
      <w:r w:rsidR="0012408D">
        <w:t xml:space="preserve">meeting frequency per year and approved the revised </w:t>
      </w:r>
      <w:r w:rsidR="002938D8">
        <w:t xml:space="preserve">Board’s </w:t>
      </w:r>
      <w:r w:rsidR="003B5938">
        <w:t>t</w:t>
      </w:r>
      <w:r w:rsidR="0012408D">
        <w:t xml:space="preserve">erms of </w:t>
      </w:r>
      <w:r w:rsidR="003B5938">
        <w:t>r</w:t>
      </w:r>
      <w:r w:rsidR="0012408D">
        <w:t xml:space="preserve">eference. </w:t>
      </w:r>
    </w:p>
    <w:p w14:paraId="57273226" w14:textId="77777777" w:rsidR="00123852" w:rsidRDefault="00123852" w:rsidP="00082AF4"/>
    <w:p w14:paraId="6AC60F8E" w14:textId="78D8845F" w:rsidR="0063086D" w:rsidRDefault="00BD4363" w:rsidP="0063086D">
      <w:r>
        <w:t>T</w:t>
      </w:r>
      <w:r w:rsidR="00082AF4" w:rsidRPr="00082AF4">
        <w:t xml:space="preserve">he Board established the Accessible Customer Service Standard Development Committee </w:t>
      </w:r>
      <w:r w:rsidR="00EF6680">
        <w:t>i</w:t>
      </w:r>
      <w:r>
        <w:t>n December</w:t>
      </w:r>
      <w:r w:rsidRPr="00082AF4">
        <w:t xml:space="preserve"> 2024, </w:t>
      </w:r>
      <w:r w:rsidR="00082AF4" w:rsidRPr="00082AF4">
        <w:t>as per Ministerial direction provided during the 2023-24 fiscal year.</w:t>
      </w:r>
      <w:r w:rsidR="00123852">
        <w:t xml:space="preserve"> </w:t>
      </w:r>
      <w:r w:rsidR="00082AF4" w:rsidRPr="00082AF4">
        <w:t xml:space="preserve">It is anticipated that </w:t>
      </w:r>
      <w:r w:rsidR="00082AF4">
        <w:t>that</w:t>
      </w:r>
      <w:r w:rsidR="00082AF4" w:rsidRPr="00082AF4">
        <w:t xml:space="preserve"> the Minister wi</w:t>
      </w:r>
      <w:r w:rsidR="00082AF4">
        <w:t>ll receive the Board’s</w:t>
      </w:r>
      <w:r w:rsidR="00082AF4" w:rsidRPr="00082AF4">
        <w:t xml:space="preserve"> draft </w:t>
      </w:r>
      <w:r w:rsidR="00123852">
        <w:t>r</w:t>
      </w:r>
      <w:r w:rsidR="00082AF4" w:rsidRPr="00082AF4">
        <w:t>ecommendations for Accessible Customer Service Standard</w:t>
      </w:r>
      <w:r w:rsidR="007435AC">
        <w:t>s</w:t>
      </w:r>
      <w:r w:rsidR="00082AF4" w:rsidRPr="00082AF4">
        <w:t xml:space="preserve"> in 2025-26</w:t>
      </w:r>
      <w:r w:rsidR="00580C4A">
        <w:t xml:space="preserve"> for</w:t>
      </w:r>
      <w:r w:rsidR="007435AC">
        <w:t xml:space="preserve"> consideration</w:t>
      </w:r>
      <w:r w:rsidR="00580C4A">
        <w:t>.</w:t>
      </w:r>
      <w:r w:rsidR="00580C4A" w:rsidRPr="00082AF4">
        <w:t xml:space="preserve"> This</w:t>
      </w:r>
      <w:r w:rsidR="00082AF4" w:rsidRPr="00082AF4">
        <w:t xml:space="preserve"> will align with proposed timelines within the Accessible Customer Service Standard Development Committee work plan.</w:t>
      </w:r>
      <w:r w:rsidR="00123852">
        <w:t xml:space="preserve"> </w:t>
      </w:r>
    </w:p>
    <w:p w14:paraId="17DDF16A" w14:textId="77777777" w:rsidR="0063086D" w:rsidRDefault="0063086D" w:rsidP="0063086D"/>
    <w:p w14:paraId="641DE69D" w14:textId="3840F0B7" w:rsidR="0063086D" w:rsidRDefault="007435AC" w:rsidP="0063086D">
      <w:r>
        <w:t xml:space="preserve">The </w:t>
      </w:r>
      <w:r w:rsidR="0063086D">
        <w:t xml:space="preserve">Minister </w:t>
      </w:r>
      <w:r>
        <w:t xml:space="preserve">Responsible for the Status of Persons with Disabilities </w:t>
      </w:r>
      <w:r w:rsidR="0063086D">
        <w:t xml:space="preserve">continues to support the Board </w:t>
      </w:r>
      <w:r>
        <w:t>in</w:t>
      </w:r>
      <w:r w:rsidR="0063086D">
        <w:t xml:space="preserve"> preparing </w:t>
      </w:r>
      <w:r>
        <w:t xml:space="preserve">for </w:t>
      </w:r>
      <w:r w:rsidR="0063086D">
        <w:t xml:space="preserve">the next standard </w:t>
      </w:r>
      <w:r>
        <w:t xml:space="preserve">approved for </w:t>
      </w:r>
      <w:r w:rsidR="0063086D">
        <w:t>development,</w:t>
      </w:r>
      <w:r w:rsidR="003B5938">
        <w:t xml:space="preserve"> which is</w:t>
      </w:r>
      <w:r w:rsidR="0063086D">
        <w:t xml:space="preserve"> Information and Communication. It is anticipated </w:t>
      </w:r>
      <w:r>
        <w:t xml:space="preserve">an </w:t>
      </w:r>
      <w:r w:rsidR="003B5938">
        <w:t>e</w:t>
      </w:r>
      <w:r w:rsidR="0063086D">
        <w:t xml:space="preserve">xpression of </w:t>
      </w:r>
      <w:r w:rsidR="003B5938">
        <w:t>i</w:t>
      </w:r>
      <w:r w:rsidR="0063086D">
        <w:t xml:space="preserve">nterest for </w:t>
      </w:r>
      <w:r>
        <w:t xml:space="preserve">the </w:t>
      </w:r>
      <w:r w:rsidR="0063086D">
        <w:t>Information and Communication Standard Development Committee will be open for applications in 2025-26.</w:t>
      </w:r>
      <w:r w:rsidR="00EF6680">
        <w:t xml:space="preserve"> </w:t>
      </w:r>
      <w:r w:rsidR="0063086D">
        <w:t xml:space="preserve">The </w:t>
      </w:r>
      <w:r w:rsidR="00EF6680">
        <w:t>M</w:t>
      </w:r>
      <w:r w:rsidR="0063086D">
        <w:t xml:space="preserve">inister received the Board’s advice on recommendations for </w:t>
      </w:r>
      <w:r w:rsidR="0081091A">
        <w:t xml:space="preserve">the next accessibility </w:t>
      </w:r>
      <w:r w:rsidR="0063086D">
        <w:t xml:space="preserve">standards to be considered for future development and implementation. Further consideration and dialogue </w:t>
      </w:r>
      <w:r w:rsidR="00BD4363">
        <w:t>are</w:t>
      </w:r>
      <w:r w:rsidR="0063086D">
        <w:t xml:space="preserve"> expected in 2025-26.</w:t>
      </w:r>
    </w:p>
    <w:p w14:paraId="2C720727" w14:textId="77777777" w:rsidR="00A3601E" w:rsidRPr="00D06408" w:rsidRDefault="00A3601E" w:rsidP="000473C3">
      <w:pPr>
        <w:pStyle w:val="Heading2"/>
        <w:rPr>
          <w:b/>
          <w:bCs/>
          <w:color w:val="000000" w:themeColor="text1"/>
          <w:sz w:val="28"/>
          <w:szCs w:val="28"/>
        </w:rPr>
      </w:pPr>
      <w:bookmarkStart w:id="6" w:name="_Toc212467605"/>
      <w:bookmarkEnd w:id="5"/>
      <w:r w:rsidRPr="00D06408">
        <w:rPr>
          <w:b/>
          <w:bCs/>
          <w:color w:val="000000" w:themeColor="text1"/>
          <w:sz w:val="28"/>
          <w:szCs w:val="28"/>
        </w:rPr>
        <w:lastRenderedPageBreak/>
        <w:t>Engagement with Individuals, Organizations, and Public Bodies</w:t>
      </w:r>
      <w:bookmarkEnd w:id="6"/>
      <w:r w:rsidRPr="00D06408">
        <w:rPr>
          <w:b/>
          <w:bCs/>
          <w:color w:val="000000" w:themeColor="text1"/>
          <w:sz w:val="28"/>
          <w:szCs w:val="28"/>
        </w:rPr>
        <w:t xml:space="preserve"> </w:t>
      </w:r>
    </w:p>
    <w:p w14:paraId="2D8933CB" w14:textId="77777777" w:rsidR="00A3601E" w:rsidRDefault="00A3601E" w:rsidP="00082AF4"/>
    <w:p w14:paraId="1AB39705" w14:textId="3E56D7DA" w:rsidR="00086C60" w:rsidRDefault="00682E0A" w:rsidP="00082AF4">
      <w:r>
        <w:t xml:space="preserve">The Department </w:t>
      </w:r>
      <w:r w:rsidR="00086C60">
        <w:t xml:space="preserve">continues to engage individuals, organizations and public bodies that are subject to </w:t>
      </w:r>
      <w:r w:rsidR="00FF77B1">
        <w:t xml:space="preserve">future </w:t>
      </w:r>
      <w:r w:rsidR="00086C60">
        <w:t xml:space="preserve">accessibility standards, as the standards are being developed. Key </w:t>
      </w:r>
      <w:r w:rsidR="00EF6680">
        <w:t>activities</w:t>
      </w:r>
      <w:r w:rsidR="00086C60">
        <w:t xml:space="preserve"> in the 2024-25 fiscal year include</w:t>
      </w:r>
      <w:r w:rsidR="003B5938">
        <w:t>d</w:t>
      </w:r>
      <w:r w:rsidR="00086C60">
        <w:t>:</w:t>
      </w:r>
    </w:p>
    <w:p w14:paraId="4F6D9034" w14:textId="75433BA7" w:rsidR="0012408D" w:rsidRDefault="00086C60" w:rsidP="0012408D">
      <w:pPr>
        <w:pStyle w:val="ListParagraph"/>
        <w:numPr>
          <w:ilvl w:val="0"/>
          <w:numId w:val="8"/>
        </w:numPr>
      </w:pPr>
      <w:r>
        <w:t xml:space="preserve">The Board, with the secretarial support of DPO, </w:t>
      </w:r>
      <w:r w:rsidR="000473C3">
        <w:t>set up</w:t>
      </w:r>
      <w:r>
        <w:t xml:space="preserve"> the </w:t>
      </w:r>
      <w:r w:rsidR="007B71E7">
        <w:t>Accessible</w:t>
      </w:r>
      <w:r>
        <w:t xml:space="preserve"> Customer Service </w:t>
      </w:r>
      <w:r w:rsidR="003B5938">
        <w:t>S</w:t>
      </w:r>
      <w:r>
        <w:t xml:space="preserve">tandard </w:t>
      </w:r>
      <w:r w:rsidR="003B5938">
        <w:t>D</w:t>
      </w:r>
      <w:r>
        <w:t xml:space="preserve">evelopment </w:t>
      </w:r>
      <w:r w:rsidR="003B5938">
        <w:t>C</w:t>
      </w:r>
      <w:r>
        <w:t xml:space="preserve">ommittee to </w:t>
      </w:r>
      <w:r w:rsidR="002938D8">
        <w:t xml:space="preserve">provide technical expertise on standard </w:t>
      </w:r>
      <w:r w:rsidR="00774FD5">
        <w:t>development.</w:t>
      </w:r>
      <w:r>
        <w:t xml:space="preserve"> The Board continues to ensure </w:t>
      </w:r>
      <w:r w:rsidR="00774FD5">
        <w:t>current and</w:t>
      </w:r>
      <w:r w:rsidR="002938D8">
        <w:t xml:space="preserve"> future </w:t>
      </w:r>
      <w:r>
        <w:t>committee</w:t>
      </w:r>
      <w:r w:rsidR="002938D8">
        <w:t>s</w:t>
      </w:r>
      <w:r>
        <w:t xml:space="preserve"> </w:t>
      </w:r>
      <w:r w:rsidR="002938D8">
        <w:t>are</w:t>
      </w:r>
      <w:r w:rsidR="00CD0484">
        <w:t xml:space="preserve"> </w:t>
      </w:r>
      <w:r>
        <w:t>comprised of</w:t>
      </w:r>
      <w:r w:rsidR="0012408D">
        <w:t>:</w:t>
      </w:r>
    </w:p>
    <w:p w14:paraId="0A343461" w14:textId="46E10F24" w:rsidR="0012408D" w:rsidRDefault="0012408D" w:rsidP="0012408D">
      <w:pPr>
        <w:pStyle w:val="ListParagraph"/>
        <w:numPr>
          <w:ilvl w:val="1"/>
          <w:numId w:val="8"/>
        </w:numPr>
      </w:pPr>
      <w:r w:rsidRPr="00B85DF8">
        <w:t xml:space="preserve">Persons with disabilities with lived experience </w:t>
      </w:r>
      <w:bookmarkStart w:id="7" w:name="_Hlk187242583"/>
      <w:r w:rsidR="002938D8">
        <w:t xml:space="preserve">and technical </w:t>
      </w:r>
      <w:bookmarkEnd w:id="7"/>
      <w:r w:rsidR="00E13C19">
        <w:t>expertise.</w:t>
      </w:r>
      <w:r>
        <w:t xml:space="preserve"> </w:t>
      </w:r>
    </w:p>
    <w:p w14:paraId="4A1F9561" w14:textId="7F636F60" w:rsidR="0012408D" w:rsidRDefault="0012408D" w:rsidP="0012408D">
      <w:pPr>
        <w:pStyle w:val="ListParagraph"/>
        <w:numPr>
          <w:ilvl w:val="1"/>
          <w:numId w:val="8"/>
        </w:numPr>
      </w:pPr>
      <w:r w:rsidRPr="007820F9">
        <w:t>Individuals from disability organizations</w:t>
      </w:r>
      <w:r w:rsidR="00FF77B1">
        <w:t xml:space="preserve"> with</w:t>
      </w:r>
      <w:r w:rsidRPr="007820F9">
        <w:t xml:space="preserve"> </w:t>
      </w:r>
      <w:r w:rsidR="002938D8">
        <w:t xml:space="preserve">technical </w:t>
      </w:r>
      <w:r w:rsidR="00E13C19" w:rsidRPr="007820F9">
        <w:t>experience</w:t>
      </w:r>
      <w:r w:rsidR="00E13C19">
        <w:t>.</w:t>
      </w:r>
    </w:p>
    <w:p w14:paraId="2CA529C7" w14:textId="40C31128" w:rsidR="0012408D" w:rsidRDefault="0012408D" w:rsidP="0012408D">
      <w:pPr>
        <w:pStyle w:val="ListParagraph"/>
        <w:numPr>
          <w:ilvl w:val="1"/>
          <w:numId w:val="8"/>
        </w:numPr>
      </w:pPr>
      <w:r w:rsidRPr="00B85DF8">
        <w:t xml:space="preserve">Individuals from business and industry sectors </w:t>
      </w:r>
      <w:r>
        <w:t xml:space="preserve">with </w:t>
      </w:r>
      <w:bookmarkStart w:id="8" w:name="_Hlk187242605"/>
      <w:r w:rsidR="002938D8">
        <w:t xml:space="preserve">technical </w:t>
      </w:r>
      <w:bookmarkEnd w:id="8"/>
      <w:r w:rsidR="00E13C19">
        <w:t>experience.</w:t>
      </w:r>
    </w:p>
    <w:p w14:paraId="20BC89C4" w14:textId="270D37D1" w:rsidR="0012408D" w:rsidRPr="0012408D" w:rsidRDefault="0012408D" w:rsidP="0012408D">
      <w:pPr>
        <w:pStyle w:val="ListParagraph"/>
        <w:numPr>
          <w:ilvl w:val="1"/>
          <w:numId w:val="8"/>
        </w:numPr>
      </w:pPr>
      <w:r w:rsidRPr="007820F9">
        <w:t xml:space="preserve">Individuals who work within core government, agencies, boards or commissions, who have responsibilities related to </w:t>
      </w:r>
      <w:r w:rsidR="002938D8">
        <w:t xml:space="preserve">the standard under </w:t>
      </w:r>
      <w:r w:rsidR="00E13C19">
        <w:t>development.</w:t>
      </w:r>
    </w:p>
    <w:p w14:paraId="7BFDDDAB" w14:textId="0DF2761D" w:rsidR="0012408D" w:rsidRPr="00B85DF8" w:rsidRDefault="0012408D" w:rsidP="0012408D">
      <w:pPr>
        <w:pStyle w:val="ListParagraph"/>
        <w:numPr>
          <w:ilvl w:val="1"/>
          <w:numId w:val="8"/>
        </w:numPr>
      </w:pPr>
      <w:r w:rsidRPr="00B85DF8">
        <w:t xml:space="preserve">Individuals with organizations or public bodies (e.g. government agencies, boards or commissions) that </w:t>
      </w:r>
      <w:r w:rsidR="00FF77B1">
        <w:t xml:space="preserve">will be </w:t>
      </w:r>
      <w:r>
        <w:t xml:space="preserve">impacted by </w:t>
      </w:r>
      <w:r w:rsidR="002938D8">
        <w:t>future regulations</w:t>
      </w:r>
      <w:r>
        <w:t>.</w:t>
      </w:r>
    </w:p>
    <w:p w14:paraId="4D911D20" w14:textId="4B24408C" w:rsidR="007B71E7" w:rsidRDefault="007B71E7" w:rsidP="007B71E7">
      <w:pPr>
        <w:pStyle w:val="ListParagraph"/>
        <w:numPr>
          <w:ilvl w:val="0"/>
          <w:numId w:val="6"/>
        </w:numPr>
      </w:pPr>
      <w:r>
        <w:t>Ongoing engagement with public bodies on the development, compliance and implementation of their accessibility plans. This includes providing guidance and input on the plans upon request.</w:t>
      </w:r>
    </w:p>
    <w:p w14:paraId="0D670172" w14:textId="357178E7" w:rsidR="007B71E7" w:rsidRDefault="007B71E7" w:rsidP="007B71E7">
      <w:pPr>
        <w:pStyle w:val="ListParagraph"/>
        <w:numPr>
          <w:ilvl w:val="0"/>
          <w:numId w:val="6"/>
        </w:numPr>
      </w:pPr>
      <w:r>
        <w:t xml:space="preserve">Continuous dialogue </w:t>
      </w:r>
      <w:r w:rsidR="002938D8">
        <w:t>with</w:t>
      </w:r>
      <w:r>
        <w:t xml:space="preserve"> Accessibility Standards Canada and other provinces </w:t>
      </w:r>
      <w:r w:rsidR="002938D8">
        <w:t xml:space="preserve">and territories </w:t>
      </w:r>
      <w:r w:rsidR="00FF77B1">
        <w:t xml:space="preserve">to learn from their experiences </w:t>
      </w:r>
      <w:r>
        <w:t>in the</w:t>
      </w:r>
      <w:r w:rsidR="00FF77B1">
        <w:t xml:space="preserve"> development, implementation</w:t>
      </w:r>
      <w:r>
        <w:t xml:space="preserve"> </w:t>
      </w:r>
      <w:r w:rsidR="00FF77B1">
        <w:t xml:space="preserve">and evaluation of their </w:t>
      </w:r>
      <w:r>
        <w:t xml:space="preserve">accessibility </w:t>
      </w:r>
      <w:r w:rsidR="00FF77B1">
        <w:t xml:space="preserve">legislation </w:t>
      </w:r>
      <w:r>
        <w:t>and standard</w:t>
      </w:r>
      <w:r w:rsidR="00FF77B1">
        <w:t>s</w:t>
      </w:r>
      <w:r>
        <w:t>.</w:t>
      </w:r>
    </w:p>
    <w:p w14:paraId="68E0B6A1" w14:textId="77777777" w:rsidR="00086C60" w:rsidRDefault="00086C60" w:rsidP="00082AF4"/>
    <w:p w14:paraId="7E73A23B" w14:textId="1BD3141D" w:rsidR="00A3601E" w:rsidRPr="00D06408" w:rsidRDefault="00A3601E" w:rsidP="000473C3">
      <w:pPr>
        <w:pStyle w:val="Heading2"/>
        <w:rPr>
          <w:b/>
          <w:bCs/>
          <w:color w:val="000000" w:themeColor="text1"/>
          <w:sz w:val="28"/>
          <w:szCs w:val="28"/>
        </w:rPr>
      </w:pPr>
      <w:bookmarkStart w:id="9" w:name="_Toc212467606"/>
      <w:r w:rsidRPr="00D06408">
        <w:rPr>
          <w:b/>
          <w:bCs/>
          <w:color w:val="000000" w:themeColor="text1"/>
          <w:sz w:val="28"/>
          <w:szCs w:val="28"/>
        </w:rPr>
        <w:t>Improving Accessibility Grant</w:t>
      </w:r>
      <w:bookmarkEnd w:id="9"/>
    </w:p>
    <w:p w14:paraId="3ACFB0B1" w14:textId="77777777" w:rsidR="000473C3" w:rsidRDefault="000473C3" w:rsidP="003D5D42"/>
    <w:p w14:paraId="077D152A" w14:textId="69B1582C" w:rsidR="003D5D42" w:rsidRDefault="00CE1926" w:rsidP="003D5D42">
      <w:r>
        <w:t>In 2024</w:t>
      </w:r>
      <w:r w:rsidR="00B202E3">
        <w:t>-25</w:t>
      </w:r>
      <w:r>
        <w:t xml:space="preserve">, </w:t>
      </w:r>
      <w:r w:rsidR="003D5D42">
        <w:t xml:space="preserve">DPO </w:t>
      </w:r>
      <w:r>
        <w:t xml:space="preserve">hosted and facilitated an engagement session with the Network of Disability </w:t>
      </w:r>
      <w:r w:rsidR="003D5D42">
        <w:t>Organizations</w:t>
      </w:r>
      <w:r>
        <w:t xml:space="preserve"> </w:t>
      </w:r>
      <w:r w:rsidR="003D5D42" w:rsidRPr="009D2158">
        <w:t xml:space="preserve">to gather feedback on how to improve </w:t>
      </w:r>
      <w:r w:rsidR="00B202E3">
        <w:t xml:space="preserve">the application process </w:t>
      </w:r>
      <w:r w:rsidR="007B71E7">
        <w:t>and</w:t>
      </w:r>
      <w:r w:rsidR="003D5D42">
        <w:t xml:space="preserve"> </w:t>
      </w:r>
      <w:r w:rsidR="003D5D42" w:rsidRPr="009D2158">
        <w:t>increase interest from disability organizations</w:t>
      </w:r>
      <w:r w:rsidR="003D5D42">
        <w:t xml:space="preserve"> </w:t>
      </w:r>
      <w:r w:rsidR="00B202E3">
        <w:t xml:space="preserve">in </w:t>
      </w:r>
      <w:r w:rsidR="003D5D42" w:rsidRPr="009D2158">
        <w:t>the Accessibility Grant Program</w:t>
      </w:r>
      <w:r w:rsidR="0096399F">
        <w:t>.</w:t>
      </w:r>
    </w:p>
    <w:p w14:paraId="7026C4FA" w14:textId="77777777" w:rsidR="00E14F4C" w:rsidRDefault="00E14F4C" w:rsidP="003D5D42"/>
    <w:p w14:paraId="228720CA" w14:textId="14C43C1B" w:rsidR="00A3601E" w:rsidRDefault="003B5938" w:rsidP="00082AF4">
      <w:r>
        <w:t>Feedback received on subjects</w:t>
      </w:r>
      <w:r w:rsidR="00E14F4C">
        <w:t xml:space="preserve"> </w:t>
      </w:r>
      <w:r w:rsidR="00F509AF">
        <w:t>such as</w:t>
      </w:r>
      <w:r w:rsidR="00E14F4C">
        <w:t xml:space="preserve"> improving communications, application process</w:t>
      </w:r>
      <w:r w:rsidR="00B202E3">
        <w:t xml:space="preserve"> improvements</w:t>
      </w:r>
      <w:r w:rsidR="00E14F4C">
        <w:t xml:space="preserve"> and collaboration opportunities are anticipated to be integrated in the grant program in the coming fiscal year. DPO continues to seek </w:t>
      </w:r>
      <w:r w:rsidR="00E5368C">
        <w:t>feedback to</w:t>
      </w:r>
      <w:r w:rsidR="00E14F4C">
        <w:t xml:space="preserve"> ensure the program is inclusive and accessible. </w:t>
      </w:r>
    </w:p>
    <w:p w14:paraId="1EBB8343" w14:textId="15F7E519" w:rsidR="00A3601E" w:rsidRDefault="00A3601E" w:rsidP="008C5DFE">
      <w:pPr>
        <w:pStyle w:val="Heading1"/>
        <w:rPr>
          <w:color w:val="000000" w:themeColor="text1"/>
          <w:sz w:val="28"/>
          <w:szCs w:val="28"/>
        </w:rPr>
      </w:pPr>
      <w:bookmarkStart w:id="10" w:name="_Toc212467607"/>
      <w:r w:rsidRPr="00D06408">
        <w:rPr>
          <w:color w:val="000000" w:themeColor="text1"/>
          <w:sz w:val="28"/>
          <w:szCs w:val="28"/>
        </w:rPr>
        <w:t>Summary</w:t>
      </w:r>
      <w:bookmarkEnd w:id="10"/>
    </w:p>
    <w:p w14:paraId="1490DEE9" w14:textId="77777777" w:rsidR="008C5DFE" w:rsidRPr="008C5DFE" w:rsidRDefault="008C5DFE" w:rsidP="008C5DFE"/>
    <w:p w14:paraId="49FF9249" w14:textId="621CABF3" w:rsidR="00F509AF" w:rsidRDefault="00F509AF" w:rsidP="00082AF4">
      <w:r>
        <w:t xml:space="preserve">The Minister Responsible for the Status of Persons with Disabilities </w:t>
      </w:r>
      <w:r w:rsidR="0096399F">
        <w:t xml:space="preserve">continues to </w:t>
      </w:r>
      <w:r>
        <w:t xml:space="preserve">meet the requirements in sections 6 and 7 of the </w:t>
      </w:r>
      <w:r w:rsidRPr="00F509AF">
        <w:rPr>
          <w:rStyle w:val="Strong"/>
        </w:rPr>
        <w:t>Accessibility Act</w:t>
      </w:r>
      <w:r>
        <w:t>.</w:t>
      </w:r>
      <w:r w:rsidR="0096399F">
        <w:t xml:space="preserve">The Minister promotes the advancement </w:t>
      </w:r>
      <w:r>
        <w:t xml:space="preserve">of the </w:t>
      </w:r>
      <w:r w:rsidRPr="00302CB5">
        <w:t>Government of Newfoundland and Labrador Accessibility Plan 2024-26</w:t>
      </w:r>
      <w:r>
        <w:t>; support</w:t>
      </w:r>
      <w:r w:rsidR="0096399F">
        <w:t>s</w:t>
      </w:r>
      <w:r>
        <w:t xml:space="preserve"> the Board in establishing standard development </w:t>
      </w:r>
      <w:r w:rsidR="0096399F">
        <w:t>committees and</w:t>
      </w:r>
      <w:r>
        <w:t xml:space="preserve"> </w:t>
      </w:r>
      <w:r w:rsidR="0096399F">
        <w:t xml:space="preserve">provides oversight to the </w:t>
      </w:r>
      <w:r w:rsidR="007A0958">
        <w:t xml:space="preserve">development and </w:t>
      </w:r>
      <w:r w:rsidR="0096399F">
        <w:t xml:space="preserve">implementation of the </w:t>
      </w:r>
      <w:r w:rsidR="00205629">
        <w:t xml:space="preserve">NLDB; </w:t>
      </w:r>
      <w:r>
        <w:t xml:space="preserve">and </w:t>
      </w:r>
      <w:r w:rsidR="0096399F">
        <w:t xml:space="preserve">facilitates </w:t>
      </w:r>
      <w:r>
        <w:t>ongoing engagement with</w:t>
      </w:r>
      <w:r w:rsidR="00887C5B">
        <w:t xml:space="preserve"> the community of and for persons with disabilities,</w:t>
      </w:r>
      <w:r>
        <w:t xml:space="preserve"> </w:t>
      </w:r>
      <w:r w:rsidR="003B5938">
        <w:t xml:space="preserve">as well as </w:t>
      </w:r>
      <w:r>
        <w:t>public bodies</w:t>
      </w:r>
      <w:r w:rsidR="00887C5B">
        <w:t>, agencies, boards and commissions</w:t>
      </w:r>
      <w:r>
        <w:t xml:space="preserve"> to enhance accessibility, remove and prevent barriers experienced by persons with disabilities.</w:t>
      </w:r>
    </w:p>
    <w:sectPr w:rsidR="00F509AF" w:rsidSect="00A3601E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7DCB" w14:textId="77777777" w:rsidR="001D5F5A" w:rsidRDefault="001D5F5A">
      <w:r>
        <w:separator/>
      </w:r>
    </w:p>
  </w:endnote>
  <w:endnote w:type="continuationSeparator" w:id="0">
    <w:p w14:paraId="542C6506" w14:textId="77777777" w:rsidR="001D5F5A" w:rsidRDefault="001D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74F2" w14:textId="77777777" w:rsidR="001D5F5A" w:rsidRDefault="001D5F5A">
      <w:r>
        <w:separator/>
      </w:r>
    </w:p>
  </w:footnote>
  <w:footnote w:type="continuationSeparator" w:id="0">
    <w:p w14:paraId="4D4B79E1" w14:textId="77777777" w:rsidR="001D5F5A" w:rsidRDefault="001D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3986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E1E240" w14:textId="09D474E0" w:rsidR="00D06408" w:rsidRDefault="00D06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96CD9" w14:textId="77777777" w:rsidR="00D06408" w:rsidRDefault="00D0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93E"/>
    <w:multiLevelType w:val="multilevel"/>
    <w:tmpl w:val="62C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378"/>
    <w:multiLevelType w:val="hybridMultilevel"/>
    <w:tmpl w:val="2F66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D46"/>
    <w:multiLevelType w:val="multilevel"/>
    <w:tmpl w:val="820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12D54"/>
    <w:multiLevelType w:val="multilevel"/>
    <w:tmpl w:val="7A96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80A1C"/>
    <w:multiLevelType w:val="multilevel"/>
    <w:tmpl w:val="09F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15723"/>
    <w:multiLevelType w:val="hybridMultilevel"/>
    <w:tmpl w:val="2050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1BEC"/>
    <w:multiLevelType w:val="hybridMultilevel"/>
    <w:tmpl w:val="A52E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2B38"/>
    <w:multiLevelType w:val="multilevel"/>
    <w:tmpl w:val="A0C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C7642"/>
    <w:multiLevelType w:val="multilevel"/>
    <w:tmpl w:val="372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34B90"/>
    <w:multiLevelType w:val="multilevel"/>
    <w:tmpl w:val="171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D1DFE"/>
    <w:multiLevelType w:val="hybridMultilevel"/>
    <w:tmpl w:val="BA28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18BD"/>
    <w:multiLevelType w:val="multilevel"/>
    <w:tmpl w:val="A22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E719B"/>
    <w:multiLevelType w:val="hybridMultilevel"/>
    <w:tmpl w:val="570E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6B7B"/>
    <w:multiLevelType w:val="hybridMultilevel"/>
    <w:tmpl w:val="3AC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416E0"/>
    <w:multiLevelType w:val="hybridMultilevel"/>
    <w:tmpl w:val="68FC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4000B"/>
    <w:multiLevelType w:val="multilevel"/>
    <w:tmpl w:val="B75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254F3"/>
    <w:multiLevelType w:val="hybridMultilevel"/>
    <w:tmpl w:val="692E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77412">
    <w:abstractNumId w:val="6"/>
  </w:num>
  <w:num w:numId="2" w16cid:durableId="1161972163">
    <w:abstractNumId w:val="1"/>
  </w:num>
  <w:num w:numId="3" w16cid:durableId="1059674380">
    <w:abstractNumId w:val="14"/>
  </w:num>
  <w:num w:numId="4" w16cid:durableId="1327322133">
    <w:abstractNumId w:val="13"/>
  </w:num>
  <w:num w:numId="5" w16cid:durableId="199124959">
    <w:abstractNumId w:val="12"/>
  </w:num>
  <w:num w:numId="6" w16cid:durableId="526217517">
    <w:abstractNumId w:val="5"/>
  </w:num>
  <w:num w:numId="7" w16cid:durableId="1504777288">
    <w:abstractNumId w:val="10"/>
  </w:num>
  <w:num w:numId="8" w16cid:durableId="8457440">
    <w:abstractNumId w:val="16"/>
  </w:num>
  <w:num w:numId="9" w16cid:durableId="238907524">
    <w:abstractNumId w:val="7"/>
  </w:num>
  <w:num w:numId="10" w16cid:durableId="67926516">
    <w:abstractNumId w:val="3"/>
  </w:num>
  <w:num w:numId="11" w16cid:durableId="103425466">
    <w:abstractNumId w:val="0"/>
  </w:num>
  <w:num w:numId="12" w16cid:durableId="1306012016">
    <w:abstractNumId w:val="9"/>
  </w:num>
  <w:num w:numId="13" w16cid:durableId="172695058">
    <w:abstractNumId w:val="2"/>
  </w:num>
  <w:num w:numId="14" w16cid:durableId="889343673">
    <w:abstractNumId w:val="11"/>
  </w:num>
  <w:num w:numId="15" w16cid:durableId="1734349987">
    <w:abstractNumId w:val="8"/>
  </w:num>
  <w:num w:numId="16" w16cid:durableId="893931986">
    <w:abstractNumId w:val="15"/>
  </w:num>
  <w:num w:numId="17" w16cid:durableId="1632398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1E"/>
    <w:rsid w:val="00003BE2"/>
    <w:rsid w:val="00027AB1"/>
    <w:rsid w:val="00043BD4"/>
    <w:rsid w:val="000473C3"/>
    <w:rsid w:val="00082AF4"/>
    <w:rsid w:val="00086C60"/>
    <w:rsid w:val="000B27DD"/>
    <w:rsid w:val="000B5483"/>
    <w:rsid w:val="00117CF3"/>
    <w:rsid w:val="00123852"/>
    <w:rsid w:val="0012408D"/>
    <w:rsid w:val="00131615"/>
    <w:rsid w:val="00164557"/>
    <w:rsid w:val="00186268"/>
    <w:rsid w:val="001B301A"/>
    <w:rsid w:val="001D318B"/>
    <w:rsid w:val="001D5F5A"/>
    <w:rsid w:val="001D6537"/>
    <w:rsid w:val="00200720"/>
    <w:rsid w:val="00205629"/>
    <w:rsid w:val="00262E73"/>
    <w:rsid w:val="00287B4E"/>
    <w:rsid w:val="002938D8"/>
    <w:rsid w:val="002B645C"/>
    <w:rsid w:val="002C54B5"/>
    <w:rsid w:val="002E5675"/>
    <w:rsid w:val="002E5685"/>
    <w:rsid w:val="002E787C"/>
    <w:rsid w:val="00312292"/>
    <w:rsid w:val="00367BE9"/>
    <w:rsid w:val="00390DDF"/>
    <w:rsid w:val="003B5938"/>
    <w:rsid w:val="003D079E"/>
    <w:rsid w:val="003D5D42"/>
    <w:rsid w:val="003E7559"/>
    <w:rsid w:val="00404108"/>
    <w:rsid w:val="00407134"/>
    <w:rsid w:val="00411D07"/>
    <w:rsid w:val="00415232"/>
    <w:rsid w:val="00452CD0"/>
    <w:rsid w:val="00460170"/>
    <w:rsid w:val="0046600C"/>
    <w:rsid w:val="00471532"/>
    <w:rsid w:val="004A318B"/>
    <w:rsid w:val="004A569A"/>
    <w:rsid w:val="00531541"/>
    <w:rsid w:val="0056596A"/>
    <w:rsid w:val="00580C4A"/>
    <w:rsid w:val="0063086D"/>
    <w:rsid w:val="00631A62"/>
    <w:rsid w:val="006343F7"/>
    <w:rsid w:val="00642883"/>
    <w:rsid w:val="00653DDD"/>
    <w:rsid w:val="00682E0A"/>
    <w:rsid w:val="00683808"/>
    <w:rsid w:val="00691401"/>
    <w:rsid w:val="006C38D2"/>
    <w:rsid w:val="006E5E40"/>
    <w:rsid w:val="006F4681"/>
    <w:rsid w:val="007061BC"/>
    <w:rsid w:val="007226BB"/>
    <w:rsid w:val="0072287C"/>
    <w:rsid w:val="007435AC"/>
    <w:rsid w:val="00763906"/>
    <w:rsid w:val="007737A4"/>
    <w:rsid w:val="00774FD5"/>
    <w:rsid w:val="00775D52"/>
    <w:rsid w:val="00783864"/>
    <w:rsid w:val="0079033D"/>
    <w:rsid w:val="007A0958"/>
    <w:rsid w:val="007A6F83"/>
    <w:rsid w:val="007B41C0"/>
    <w:rsid w:val="007B51A5"/>
    <w:rsid w:val="007B6CB1"/>
    <w:rsid w:val="007B71E7"/>
    <w:rsid w:val="007E0B08"/>
    <w:rsid w:val="007E4CCE"/>
    <w:rsid w:val="00805CCD"/>
    <w:rsid w:val="008062B7"/>
    <w:rsid w:val="0081091A"/>
    <w:rsid w:val="00844EE9"/>
    <w:rsid w:val="00846A81"/>
    <w:rsid w:val="00856CC8"/>
    <w:rsid w:val="00864AEF"/>
    <w:rsid w:val="00871532"/>
    <w:rsid w:val="008773CB"/>
    <w:rsid w:val="00887C5B"/>
    <w:rsid w:val="008A154C"/>
    <w:rsid w:val="008A5268"/>
    <w:rsid w:val="008B2D0A"/>
    <w:rsid w:val="008B59DA"/>
    <w:rsid w:val="008C5DFE"/>
    <w:rsid w:val="0096399F"/>
    <w:rsid w:val="00967DB6"/>
    <w:rsid w:val="00981668"/>
    <w:rsid w:val="00995308"/>
    <w:rsid w:val="009D7583"/>
    <w:rsid w:val="00A11238"/>
    <w:rsid w:val="00A34003"/>
    <w:rsid w:val="00A3601E"/>
    <w:rsid w:val="00A56FEC"/>
    <w:rsid w:val="00A61059"/>
    <w:rsid w:val="00A9070B"/>
    <w:rsid w:val="00AA68DC"/>
    <w:rsid w:val="00B032E3"/>
    <w:rsid w:val="00B202E3"/>
    <w:rsid w:val="00B2279C"/>
    <w:rsid w:val="00B86E18"/>
    <w:rsid w:val="00B97F56"/>
    <w:rsid w:val="00BD4363"/>
    <w:rsid w:val="00C20C98"/>
    <w:rsid w:val="00C313DA"/>
    <w:rsid w:val="00C552C1"/>
    <w:rsid w:val="00CB5551"/>
    <w:rsid w:val="00CB6653"/>
    <w:rsid w:val="00CD0484"/>
    <w:rsid w:val="00CE1926"/>
    <w:rsid w:val="00D06408"/>
    <w:rsid w:val="00D3675B"/>
    <w:rsid w:val="00D52321"/>
    <w:rsid w:val="00D70FAD"/>
    <w:rsid w:val="00D963CE"/>
    <w:rsid w:val="00DA4937"/>
    <w:rsid w:val="00DB769B"/>
    <w:rsid w:val="00DE5F2B"/>
    <w:rsid w:val="00E07737"/>
    <w:rsid w:val="00E13C19"/>
    <w:rsid w:val="00E14F4C"/>
    <w:rsid w:val="00E33B08"/>
    <w:rsid w:val="00E41818"/>
    <w:rsid w:val="00E5368C"/>
    <w:rsid w:val="00E720CE"/>
    <w:rsid w:val="00E743B2"/>
    <w:rsid w:val="00E91BA2"/>
    <w:rsid w:val="00EF6680"/>
    <w:rsid w:val="00F43176"/>
    <w:rsid w:val="00F509AF"/>
    <w:rsid w:val="00F833F6"/>
    <w:rsid w:val="00F94262"/>
    <w:rsid w:val="00FA7CBB"/>
    <w:rsid w:val="00FB49A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1A1C7"/>
  <w15:chartTrackingRefBased/>
  <w15:docId w15:val="{5FCCB2A9-719A-4BCF-B6E7-CF58A394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F4"/>
    <w:pPr>
      <w:spacing w:after="0" w:line="240" w:lineRule="auto"/>
    </w:pPr>
    <w:rPr>
      <w:rFonts w:ascii="Arial" w:eastAsiaTheme="minorEastAsia" w:hAnsi="Arial" w:cs="Arial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B71E7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680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E7"/>
    <w:rPr>
      <w:rFonts w:ascii="Arial" w:eastAsiaTheme="majorEastAsia" w:hAnsi="Arial" w:cs="Arial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F6680"/>
    <w:rPr>
      <w:rFonts w:ascii="Arial" w:eastAsiaTheme="majorEastAsia" w:hAnsi="Arial" w:cs="Arial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F56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97F56"/>
    <w:rPr>
      <w:rFonts w:ascii="Arial" w:eastAsiaTheme="minorEastAsia" w:hAnsi="Arial" w:cs="Arial"/>
      <w:b/>
      <w:bCs/>
      <w:kern w:val="0"/>
      <w:sz w:val="40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01E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3601E"/>
    <w:pPr>
      <w:spacing w:before="400" w:after="40"/>
      <w:outlineLvl w:val="9"/>
    </w:pPr>
    <w:rPr>
      <w:color w:val="0A2F41" w:themeColor="accent1" w:themeShade="8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3601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06408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3601E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A36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1E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2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97F56"/>
    <w:rPr>
      <w:rFonts w:eastAsia="Calibri"/>
      <w:b/>
      <w:bCs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24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08D"/>
    <w:rPr>
      <w:rFonts w:ascii="Arial" w:eastAsiaTheme="minorEastAsia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BE2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E2"/>
    <w:rPr>
      <w:rFonts w:ascii="Arial" w:eastAsiaTheme="minorEastAsia" w:hAnsi="Arial" w:cs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46A81"/>
    <w:pPr>
      <w:spacing w:after="0" w:line="240" w:lineRule="auto"/>
    </w:pPr>
    <w:rPr>
      <w:rFonts w:ascii="Arial" w:eastAsiaTheme="minorEastAsia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6FD4-64D9-4305-8546-ACFB1A06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Davis, Karen</cp:lastModifiedBy>
  <cp:revision>2</cp:revision>
  <dcterms:created xsi:type="dcterms:W3CDTF">2025-11-17T13:17:00Z</dcterms:created>
  <dcterms:modified xsi:type="dcterms:W3CDTF">2025-11-17T13:17:00Z</dcterms:modified>
</cp:coreProperties>
</file>